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E240" w14:textId="77777777" w:rsidR="00891A56" w:rsidRPr="00B64975" w:rsidRDefault="00891A56" w:rsidP="00055C27">
      <w:pPr>
        <w:ind w:left="-142" w:right="-46"/>
        <w:jc w:val="center"/>
        <w:rPr>
          <w:rStyle w:val="BookTitle"/>
          <w:sz w:val="32"/>
          <w:szCs w:val="32"/>
        </w:rPr>
      </w:pPr>
    </w:p>
    <w:p w14:paraId="5FCA63FA" w14:textId="77777777" w:rsidR="008F6D52" w:rsidRPr="00B64975" w:rsidRDefault="008F6D52" w:rsidP="00055C27">
      <w:pPr>
        <w:ind w:left="-142" w:right="-46"/>
        <w:jc w:val="center"/>
        <w:rPr>
          <w:b/>
          <w:sz w:val="32"/>
          <w:szCs w:val="32"/>
        </w:rPr>
      </w:pPr>
      <w:r w:rsidRPr="00B64975">
        <w:rPr>
          <w:rStyle w:val="BookTitle"/>
          <w:sz w:val="32"/>
          <w:szCs w:val="32"/>
        </w:rPr>
        <w:t>THE</w:t>
      </w:r>
      <w:r w:rsidRPr="00B64975">
        <w:rPr>
          <w:b/>
          <w:sz w:val="32"/>
          <w:szCs w:val="32"/>
        </w:rPr>
        <w:t xml:space="preserve">  DIAGNOSIS  &amp;  MANAGEMENT  OF  HYPERTENSION</w:t>
      </w:r>
    </w:p>
    <w:p w14:paraId="726A4688" w14:textId="77777777" w:rsidR="002D7ECC" w:rsidRDefault="002D7ECC" w:rsidP="002D7ECC">
      <w:pPr>
        <w:ind w:left="-142" w:right="-46"/>
        <w:jc w:val="right"/>
        <w:rPr>
          <w:b/>
          <w:sz w:val="28"/>
          <w:szCs w:val="32"/>
        </w:rPr>
      </w:pPr>
      <w:r>
        <w:rPr>
          <w:b/>
          <w:sz w:val="32"/>
          <w:szCs w:val="32"/>
        </w:rPr>
        <w:t xml:space="preserve">      </w:t>
      </w:r>
      <w:r w:rsidRPr="00B64975">
        <w:rPr>
          <w:b/>
          <w:sz w:val="28"/>
          <w:szCs w:val="32"/>
        </w:rPr>
        <w:t xml:space="preserve">Dr John </w:t>
      </w:r>
      <w:proofErr w:type="spellStart"/>
      <w:r w:rsidRPr="00B64975">
        <w:rPr>
          <w:b/>
          <w:sz w:val="28"/>
          <w:szCs w:val="32"/>
        </w:rPr>
        <w:t>McLEISH</w:t>
      </w:r>
      <w:proofErr w:type="spellEnd"/>
      <w:r w:rsidRPr="00B64975">
        <w:rPr>
          <w:b/>
          <w:sz w:val="28"/>
          <w:szCs w:val="32"/>
        </w:rPr>
        <w:t xml:space="preserve">   </w:t>
      </w:r>
      <w:r w:rsidR="00FC7F51" w:rsidRPr="00FC7F51">
        <w:rPr>
          <w:b/>
        </w:rPr>
        <w:t xml:space="preserve">Revised </w:t>
      </w:r>
      <w:r w:rsidR="00287BCF">
        <w:rPr>
          <w:b/>
        </w:rPr>
        <w:t>June 2020</w:t>
      </w:r>
    </w:p>
    <w:p w14:paraId="7220D201" w14:textId="77777777" w:rsidR="00891A56" w:rsidRDefault="00891A56" w:rsidP="002D7ECC">
      <w:pPr>
        <w:ind w:left="-142" w:right="-46"/>
        <w:rPr>
          <w:b/>
          <w:sz w:val="28"/>
        </w:rPr>
      </w:pPr>
    </w:p>
    <w:p w14:paraId="70256147" w14:textId="77777777" w:rsidR="00287BCF" w:rsidRDefault="00287BCF" w:rsidP="002D7ECC">
      <w:pPr>
        <w:ind w:left="-142" w:right="-46"/>
        <w:rPr>
          <w:b/>
          <w:sz w:val="28"/>
        </w:rPr>
      </w:pPr>
      <w:r w:rsidRPr="002D7ECC">
        <w:rPr>
          <w:b/>
          <w:sz w:val="28"/>
        </w:rPr>
        <w:t xml:space="preserve">HISTORICAL PERSPECTIVE </w:t>
      </w:r>
    </w:p>
    <w:p w14:paraId="6511D6CE" w14:textId="77777777" w:rsidR="002D7ECC" w:rsidRPr="002D7ECC" w:rsidRDefault="0046716D" w:rsidP="002D7ECC">
      <w:pPr>
        <w:ind w:left="-142" w:right="-46"/>
        <w:rPr>
          <w:b/>
          <w:sz w:val="32"/>
          <w:szCs w:val="32"/>
        </w:rPr>
      </w:pPr>
      <w:r w:rsidRPr="002D7ECC">
        <w:rPr>
          <w:b/>
          <w:sz w:val="28"/>
        </w:rPr>
        <w:t>THE JNC7 Guide</w:t>
      </w:r>
      <w:r w:rsidRPr="002D7ECC">
        <w:rPr>
          <w:b/>
          <w:sz w:val="28"/>
          <w:szCs w:val="24"/>
        </w:rPr>
        <w:t>lines</w:t>
      </w:r>
    </w:p>
    <w:p w14:paraId="786A79F8" w14:textId="77777777" w:rsidR="0046716D" w:rsidRDefault="0046716D" w:rsidP="00055C27">
      <w:pPr>
        <w:ind w:left="-142" w:right="-46"/>
        <w:jc w:val="both"/>
      </w:pPr>
      <w:r>
        <w:t xml:space="preserve">For </w:t>
      </w:r>
      <w:r w:rsidR="00287BCF">
        <w:t>many</w:t>
      </w:r>
      <w:r>
        <w:t xml:space="preserve"> years recommendations on the management of hypertension </w:t>
      </w:r>
      <w:r w:rsidR="00287BCF">
        <w:t>were</w:t>
      </w:r>
      <w:r>
        <w:t xml:space="preserve"> informed by the USA guidelines of the Seventh Report of the Joint National Committee on Prevention, Detection, Evaluation and Treatment of High Blood Pressure (</w:t>
      </w:r>
      <w:r w:rsidRPr="0046716D">
        <w:rPr>
          <w:b/>
        </w:rPr>
        <w:t>JNC7</w:t>
      </w:r>
      <w:r>
        <w:t xml:space="preserve">) published in </w:t>
      </w:r>
      <w:r>
        <w:rPr>
          <w:b/>
        </w:rPr>
        <w:t>2003</w:t>
      </w:r>
      <w:r>
        <w:t xml:space="preserve"> (JAMA 289:2560, 2003).</w:t>
      </w:r>
    </w:p>
    <w:p w14:paraId="27D616D5" w14:textId="77777777" w:rsidR="0046716D" w:rsidRDefault="0046716D" w:rsidP="00055C27">
      <w:pPr>
        <w:ind w:left="-142" w:right="-46"/>
        <w:jc w:val="both"/>
      </w:pPr>
      <w:r>
        <w:t>The JNC7 guidelines recommended staging of BP into 4 groups (based on office readings), viz</w:t>
      </w:r>
    </w:p>
    <w:p w14:paraId="5B36A70B" w14:textId="77777777" w:rsidR="0046716D" w:rsidRDefault="0046716D" w:rsidP="00055C27">
      <w:pPr>
        <w:pStyle w:val="ListParagraph"/>
        <w:numPr>
          <w:ilvl w:val="0"/>
          <w:numId w:val="1"/>
        </w:numPr>
        <w:ind w:left="-142" w:right="-46" w:firstLine="709"/>
        <w:jc w:val="both"/>
      </w:pPr>
      <w:r>
        <w:rPr>
          <w:b/>
        </w:rPr>
        <w:t>Normal BP</w:t>
      </w:r>
      <w:r>
        <w:rPr>
          <w:b/>
        </w:rPr>
        <w:tab/>
      </w:r>
      <w:r>
        <w:rPr>
          <w:b/>
        </w:rPr>
        <w:tab/>
      </w:r>
      <w:r>
        <w:rPr>
          <w:b/>
        </w:rPr>
        <w:tab/>
      </w:r>
      <w:r w:rsidR="008F6D52">
        <w:rPr>
          <w:b/>
        </w:rPr>
        <w:t xml:space="preserve">       </w:t>
      </w:r>
      <w:r>
        <w:t>&lt;</w:t>
      </w:r>
      <w:r w:rsidRPr="00542251">
        <w:rPr>
          <w:b/>
        </w:rPr>
        <w:t>120/80</w:t>
      </w:r>
      <w:r>
        <w:t xml:space="preserve"> mm Hg</w:t>
      </w:r>
    </w:p>
    <w:p w14:paraId="5AB33DA4" w14:textId="77777777" w:rsidR="0046716D" w:rsidRDefault="0046716D" w:rsidP="00055C27">
      <w:pPr>
        <w:pStyle w:val="ListParagraph"/>
        <w:numPr>
          <w:ilvl w:val="0"/>
          <w:numId w:val="1"/>
        </w:numPr>
        <w:ind w:left="-142" w:right="-46" w:firstLine="709"/>
        <w:jc w:val="both"/>
      </w:pPr>
      <w:r>
        <w:rPr>
          <w:b/>
        </w:rPr>
        <w:t>Prehypertension</w:t>
      </w:r>
      <w:r>
        <w:tab/>
      </w:r>
      <w:r>
        <w:tab/>
      </w:r>
      <w:r w:rsidR="008F6D52">
        <w:t xml:space="preserve">       </w:t>
      </w:r>
      <w:r>
        <w:t xml:space="preserve">SBP </w:t>
      </w:r>
      <w:r w:rsidRPr="00542251">
        <w:rPr>
          <w:b/>
        </w:rPr>
        <w:t>120-139</w:t>
      </w:r>
      <w:r>
        <w:t xml:space="preserve"> ; DBP </w:t>
      </w:r>
      <w:r w:rsidRPr="00542251">
        <w:rPr>
          <w:b/>
        </w:rPr>
        <w:t>80-89</w:t>
      </w:r>
    </w:p>
    <w:p w14:paraId="2950A4F4" w14:textId="77777777" w:rsidR="0046716D" w:rsidRDefault="0046716D" w:rsidP="00055C27">
      <w:pPr>
        <w:pStyle w:val="ListParagraph"/>
        <w:numPr>
          <w:ilvl w:val="0"/>
          <w:numId w:val="1"/>
        </w:numPr>
        <w:ind w:left="-142" w:right="-46" w:firstLine="709"/>
        <w:jc w:val="both"/>
      </w:pPr>
      <w:r>
        <w:rPr>
          <w:b/>
        </w:rPr>
        <w:t xml:space="preserve">Stage 1 </w:t>
      </w:r>
      <w:r w:rsidR="008F6D52">
        <w:t>hypertension</w:t>
      </w:r>
      <w:r>
        <w:t xml:space="preserve"> (</w:t>
      </w:r>
      <w:r>
        <w:rPr>
          <w:b/>
        </w:rPr>
        <w:t>mild</w:t>
      </w:r>
      <w:r>
        <w:t>)</w:t>
      </w:r>
      <w:r>
        <w:tab/>
      </w:r>
      <w:r w:rsidR="008F6D52">
        <w:t xml:space="preserve">       </w:t>
      </w:r>
      <w:r>
        <w:t xml:space="preserve">SBP </w:t>
      </w:r>
      <w:r w:rsidRPr="00542251">
        <w:rPr>
          <w:b/>
        </w:rPr>
        <w:t>140-159</w:t>
      </w:r>
      <w:r>
        <w:t xml:space="preserve"> ;  DBP </w:t>
      </w:r>
      <w:r w:rsidRPr="00542251">
        <w:rPr>
          <w:b/>
        </w:rPr>
        <w:t>90-99</w:t>
      </w:r>
    </w:p>
    <w:p w14:paraId="15D4FF75" w14:textId="77777777" w:rsidR="0046716D" w:rsidRDefault="0046716D" w:rsidP="00055C27">
      <w:pPr>
        <w:pStyle w:val="ListParagraph"/>
        <w:numPr>
          <w:ilvl w:val="0"/>
          <w:numId w:val="1"/>
        </w:numPr>
        <w:ind w:left="-142" w:right="-46" w:firstLine="709"/>
        <w:jc w:val="both"/>
      </w:pPr>
      <w:r w:rsidRPr="0046716D">
        <w:rPr>
          <w:b/>
        </w:rPr>
        <w:t>Stage 2</w:t>
      </w:r>
      <w:r>
        <w:t xml:space="preserve"> </w:t>
      </w:r>
      <w:r w:rsidR="008F6D52">
        <w:t>hypertension</w:t>
      </w:r>
      <w:r>
        <w:t xml:space="preserve"> (</w:t>
      </w:r>
      <w:r w:rsidRPr="0046716D">
        <w:rPr>
          <w:b/>
        </w:rPr>
        <w:t>moderate</w:t>
      </w:r>
      <w:r>
        <w:t xml:space="preserve">) </w:t>
      </w:r>
      <w:r w:rsidR="008F6D52">
        <w:t xml:space="preserve">    </w:t>
      </w:r>
      <w:r>
        <w:t xml:space="preserve">SBP </w:t>
      </w:r>
      <w:r>
        <w:rPr>
          <w:rFonts w:ascii="Arial" w:hAnsi="Arial" w:cs="Arial"/>
        </w:rPr>
        <w:t>≥</w:t>
      </w:r>
      <w:r w:rsidRPr="00542251">
        <w:rPr>
          <w:b/>
        </w:rPr>
        <w:t>160</w:t>
      </w:r>
      <w:r>
        <w:t xml:space="preserve">  ;  DBP</w:t>
      </w:r>
      <w:r>
        <w:rPr>
          <w:rFonts w:ascii="Arial" w:hAnsi="Arial" w:cs="Arial"/>
        </w:rPr>
        <w:t>≥</w:t>
      </w:r>
      <w:r w:rsidRPr="00542251">
        <w:rPr>
          <w:b/>
        </w:rPr>
        <w:t>100</w:t>
      </w:r>
    </w:p>
    <w:p w14:paraId="2758E4AD" w14:textId="77777777" w:rsidR="0046716D" w:rsidRDefault="00E70237" w:rsidP="00055C27">
      <w:pPr>
        <w:ind w:left="-142" w:right="-46"/>
        <w:jc w:val="both"/>
      </w:pPr>
      <w:r>
        <w:t xml:space="preserve">A further category of </w:t>
      </w:r>
      <w:r w:rsidR="00965FEC">
        <w:rPr>
          <w:b/>
        </w:rPr>
        <w:t>severe</w:t>
      </w:r>
      <w:r w:rsidR="00965FEC">
        <w:t xml:space="preserve"> </w:t>
      </w:r>
      <w:r w:rsidR="00055C27">
        <w:t>hypertension</w:t>
      </w:r>
      <w:r w:rsidR="00965FEC">
        <w:t xml:space="preserve"> (SBP </w:t>
      </w:r>
      <w:r w:rsidR="00965FEC" w:rsidRPr="000726AC">
        <w:rPr>
          <w:rFonts w:ascii="Arial" w:hAnsi="Arial" w:cs="Arial"/>
          <w:b/>
        </w:rPr>
        <w:t>≥</w:t>
      </w:r>
      <w:r w:rsidR="00965FEC" w:rsidRPr="000726AC">
        <w:rPr>
          <w:b/>
        </w:rPr>
        <w:t xml:space="preserve"> 180</w:t>
      </w:r>
      <w:r w:rsidR="00965FEC">
        <w:t xml:space="preserve">; DBP </w:t>
      </w:r>
      <w:r w:rsidR="00965FEC" w:rsidRPr="000726AC">
        <w:rPr>
          <w:rFonts w:ascii="Arial" w:hAnsi="Arial" w:cs="Arial"/>
          <w:b/>
        </w:rPr>
        <w:t>≥</w:t>
      </w:r>
      <w:r w:rsidR="00965FEC" w:rsidRPr="000726AC">
        <w:rPr>
          <w:b/>
        </w:rPr>
        <w:t xml:space="preserve"> 110</w:t>
      </w:r>
      <w:r w:rsidR="00287BCF">
        <w:t xml:space="preserve"> mm Hg) was</w:t>
      </w:r>
      <w:r w:rsidR="00965FEC">
        <w:t xml:space="preserve"> generally included</w:t>
      </w:r>
    </w:p>
    <w:p w14:paraId="18498B08" w14:textId="77777777" w:rsidR="00965FEC" w:rsidRDefault="00965FEC" w:rsidP="00055C27">
      <w:pPr>
        <w:ind w:left="-142" w:right="-46"/>
        <w:jc w:val="both"/>
      </w:pPr>
      <w:r>
        <w:t xml:space="preserve">The recognition that </w:t>
      </w:r>
      <w:r w:rsidRPr="000726AC">
        <w:rPr>
          <w:b/>
        </w:rPr>
        <w:t>ambulatory BP monitoring</w:t>
      </w:r>
      <w:r>
        <w:t xml:space="preserve"> provided a far more accurate assessment of the patient’s actual BP during normal daily activities (and predict</w:t>
      </w:r>
      <w:r w:rsidR="00055C27">
        <w:t>ed</w:t>
      </w:r>
      <w:r>
        <w:t xml:space="preserve"> cardiovascular events better than office readings) led to a recommended </w:t>
      </w:r>
      <w:r w:rsidRPr="00965FEC">
        <w:rPr>
          <w:b/>
        </w:rPr>
        <w:t>average daytime</w:t>
      </w:r>
      <w:r>
        <w:rPr>
          <w:b/>
        </w:rPr>
        <w:t xml:space="preserve"> </w:t>
      </w:r>
      <w:r>
        <w:t xml:space="preserve">BP of </w:t>
      </w:r>
      <w:r>
        <w:rPr>
          <w:b/>
        </w:rPr>
        <w:t>&lt;135/85</w:t>
      </w:r>
      <w:r>
        <w:t xml:space="preserve"> and </w:t>
      </w:r>
      <w:r>
        <w:rPr>
          <w:b/>
        </w:rPr>
        <w:t xml:space="preserve">night-time </w:t>
      </w:r>
      <w:r>
        <w:t xml:space="preserve">readings of </w:t>
      </w:r>
      <w:r>
        <w:rPr>
          <w:b/>
        </w:rPr>
        <w:t>&lt;120/70</w:t>
      </w:r>
      <w:r>
        <w:t xml:space="preserve">; average day-time limits of </w:t>
      </w:r>
      <w:r>
        <w:rPr>
          <w:b/>
        </w:rPr>
        <w:t xml:space="preserve">&lt;140/90 </w:t>
      </w:r>
      <w:r>
        <w:t xml:space="preserve">and night-time limits of </w:t>
      </w:r>
      <w:r w:rsidRPr="000726AC">
        <w:rPr>
          <w:b/>
        </w:rPr>
        <w:t>&lt;125/80</w:t>
      </w:r>
      <w:r w:rsidR="00287BCF">
        <w:t xml:space="preserve"> were</w:t>
      </w:r>
      <w:r>
        <w:t xml:space="preserve"> suggested for individuals </w:t>
      </w:r>
      <w:r w:rsidRPr="000726AC">
        <w:rPr>
          <w:b/>
        </w:rPr>
        <w:t>&gt;65 years</w:t>
      </w:r>
      <w:r>
        <w:t xml:space="preserve"> of age.</w:t>
      </w:r>
    </w:p>
    <w:p w14:paraId="58675EA3" w14:textId="77777777" w:rsidR="00DA6EF9" w:rsidRDefault="00DA6EF9" w:rsidP="00DA6EF9">
      <w:pPr>
        <w:ind w:left="-142" w:right="-46"/>
        <w:jc w:val="both"/>
      </w:pPr>
      <w:r w:rsidRPr="00DA6EF9">
        <w:rPr>
          <w:b/>
        </w:rPr>
        <w:t xml:space="preserve">It should be emphasised that ambulatory BP monitoring should </w:t>
      </w:r>
      <w:r w:rsidRPr="00DA6EF9">
        <w:rPr>
          <w:b/>
          <w:i/>
        </w:rPr>
        <w:t>always</w:t>
      </w:r>
      <w:r w:rsidRPr="00DA6EF9">
        <w:rPr>
          <w:b/>
        </w:rPr>
        <w:t xml:space="preserve"> be performed in a patient with suspected hypertension prior to committing the patient to long-term drug treatment with its attendant cost and potential side-effects. </w:t>
      </w:r>
      <w:r>
        <w:t>ABP monitoring has several benefits, including:-</w:t>
      </w:r>
    </w:p>
    <w:p w14:paraId="10A67DEA" w14:textId="77777777" w:rsidR="00965FEC" w:rsidRDefault="00DA6EF9" w:rsidP="00DA6EF9">
      <w:pPr>
        <w:pStyle w:val="ListParagraph"/>
        <w:numPr>
          <w:ilvl w:val="0"/>
          <w:numId w:val="4"/>
        </w:numPr>
        <w:ind w:right="-46"/>
        <w:jc w:val="both"/>
      </w:pPr>
      <w:r>
        <w:t xml:space="preserve"> </w:t>
      </w:r>
      <w:r w:rsidR="004248CF">
        <w:t>i</w:t>
      </w:r>
      <w:r w:rsidR="00965FEC">
        <w:t>dentification of individuals with ‘</w:t>
      </w:r>
      <w:r w:rsidR="00965FEC" w:rsidRPr="00DA6EF9">
        <w:rPr>
          <w:b/>
        </w:rPr>
        <w:t>white coat</w:t>
      </w:r>
      <w:r w:rsidR="00965FEC">
        <w:t xml:space="preserve">’ </w:t>
      </w:r>
      <w:r w:rsidR="00055C27" w:rsidRPr="00DA6EF9">
        <w:rPr>
          <w:b/>
        </w:rPr>
        <w:t>hypertension</w:t>
      </w:r>
      <w:r w:rsidR="004248CF" w:rsidRPr="00DA6EF9">
        <w:rPr>
          <w:b/>
        </w:rPr>
        <w:t xml:space="preserve"> </w:t>
      </w:r>
      <w:r w:rsidR="004248CF">
        <w:t xml:space="preserve">: approximately 20% of patients with elevated office BP readings have normal ABP readings (others have an elevated office BP superimposed on less severe </w:t>
      </w:r>
      <w:r w:rsidR="00055C27">
        <w:t>hypertension</w:t>
      </w:r>
      <w:r w:rsidR="004248CF">
        <w:t>)</w:t>
      </w:r>
    </w:p>
    <w:p w14:paraId="5E3946A8" w14:textId="77777777" w:rsidR="004248CF" w:rsidRDefault="004248CF" w:rsidP="00055C27">
      <w:pPr>
        <w:pStyle w:val="ListParagraph"/>
        <w:numPr>
          <w:ilvl w:val="0"/>
          <w:numId w:val="4"/>
        </w:numPr>
        <w:ind w:right="-46"/>
        <w:jc w:val="both"/>
      </w:pPr>
      <w:r>
        <w:rPr>
          <w:b/>
        </w:rPr>
        <w:t>p</w:t>
      </w:r>
      <w:r w:rsidRPr="004248CF">
        <w:rPr>
          <w:b/>
        </w:rPr>
        <w:t>revention of overtreatment</w:t>
      </w:r>
      <w:r>
        <w:t xml:space="preserve"> :  in up to 30% of treated patients with persistently high office readings ABP monitoring reveals adequate BP control or overtreatment</w:t>
      </w:r>
    </w:p>
    <w:p w14:paraId="56589444" w14:textId="77777777" w:rsidR="00891A56" w:rsidRDefault="00055C27" w:rsidP="00055C27">
      <w:pPr>
        <w:pStyle w:val="ListParagraph"/>
        <w:numPr>
          <w:ilvl w:val="0"/>
          <w:numId w:val="4"/>
        </w:numPr>
        <w:ind w:right="-46"/>
        <w:jc w:val="both"/>
      </w:pPr>
      <w:r w:rsidRPr="00891A56">
        <w:rPr>
          <w:b/>
        </w:rPr>
        <w:t>evaluation of BP</w:t>
      </w:r>
      <w:r w:rsidR="004248CF" w:rsidRPr="00891A56">
        <w:rPr>
          <w:b/>
        </w:rPr>
        <w:t xml:space="preserve"> during the hours of sleep </w:t>
      </w:r>
      <w:r w:rsidR="00287BCF">
        <w:t>:  some individuals</w:t>
      </w:r>
      <w:r w:rsidR="004248CF">
        <w:t xml:space="preserve"> do not show the normal drop in BP during sleep (‘</w:t>
      </w:r>
      <w:r w:rsidR="004248CF" w:rsidRPr="00891A56">
        <w:rPr>
          <w:b/>
        </w:rPr>
        <w:t>non-dippers</w:t>
      </w:r>
      <w:r w:rsidR="004248CF">
        <w:t>’) and have increased</w:t>
      </w:r>
      <w:r>
        <w:t xml:space="preserve"> incidence of</w:t>
      </w:r>
      <w:r w:rsidR="004248CF">
        <w:t xml:space="preserve"> </w:t>
      </w:r>
      <w:r w:rsidR="00084A48">
        <w:t xml:space="preserve">elevated </w:t>
      </w:r>
      <w:r w:rsidR="004248CF">
        <w:t>aggregate BP and increased adverse cardiovascular outcome</w:t>
      </w:r>
      <w:r>
        <w:t xml:space="preserve">s. Arbitrarily ‘dipping’ is considered to be a drop of </w:t>
      </w:r>
      <w:r w:rsidRPr="00891A56">
        <w:rPr>
          <w:b/>
        </w:rPr>
        <w:t>15%</w:t>
      </w:r>
      <w:r>
        <w:t xml:space="preserve"> or more</w:t>
      </w:r>
      <w:r w:rsidR="00FC7F51">
        <w:t xml:space="preserve"> (some authorities suggest </w:t>
      </w:r>
      <w:r w:rsidR="00FC7F51">
        <w:rPr>
          <w:b/>
        </w:rPr>
        <w:t xml:space="preserve">10% </w:t>
      </w:r>
      <w:r w:rsidR="00FC7F51">
        <w:t>or more)</w:t>
      </w:r>
      <w:r>
        <w:t xml:space="preserve"> in average BP during the hours of sleep</w:t>
      </w:r>
      <w:r w:rsidR="00BC60E7">
        <w:t xml:space="preserve">. Nocturnal hypertension is particularly common in patients with </w:t>
      </w:r>
      <w:r w:rsidR="00BC60E7" w:rsidRPr="00287BCF">
        <w:rPr>
          <w:b/>
        </w:rPr>
        <w:t>chronic renal disease</w:t>
      </w:r>
    </w:p>
    <w:p w14:paraId="1F3CCA80" w14:textId="77777777" w:rsidR="004248CF" w:rsidRDefault="004248CF" w:rsidP="00055C27">
      <w:pPr>
        <w:pStyle w:val="ListParagraph"/>
        <w:numPr>
          <w:ilvl w:val="0"/>
          <w:numId w:val="4"/>
        </w:numPr>
        <w:ind w:right="-46"/>
        <w:jc w:val="both"/>
      </w:pPr>
      <w:r w:rsidRPr="004248CF">
        <w:t>diagnosis of</w:t>
      </w:r>
      <w:r w:rsidRPr="00891A56">
        <w:rPr>
          <w:b/>
        </w:rPr>
        <w:t xml:space="preserve"> masked hypertension  </w:t>
      </w:r>
      <w:r>
        <w:t xml:space="preserve">:  it has been suggested that office BP readings may </w:t>
      </w:r>
      <w:r w:rsidRPr="00891A56">
        <w:rPr>
          <w:b/>
        </w:rPr>
        <w:t>underestimate</w:t>
      </w:r>
      <w:r>
        <w:t xml:space="preserve"> BP during usual daily activities in as many as 10% of patients, caused by work or home stresses</w:t>
      </w:r>
    </w:p>
    <w:p w14:paraId="7A314326" w14:textId="77777777" w:rsidR="00CF4DA1" w:rsidRDefault="00CF4DA1" w:rsidP="00CF4DA1">
      <w:pPr>
        <w:ind w:right="-46"/>
        <w:jc w:val="both"/>
      </w:pPr>
    </w:p>
    <w:p w14:paraId="4EEA00EA" w14:textId="77777777" w:rsidR="007F1F6C" w:rsidRDefault="007F1F6C" w:rsidP="00055C27">
      <w:pPr>
        <w:ind w:left="-142" w:right="-46"/>
        <w:jc w:val="both"/>
        <w:rPr>
          <w:b/>
        </w:rPr>
      </w:pPr>
    </w:p>
    <w:p w14:paraId="0231F172" w14:textId="77777777" w:rsidR="002D7ECC" w:rsidRDefault="004248CF" w:rsidP="00055C27">
      <w:pPr>
        <w:ind w:left="-142" w:right="-46"/>
        <w:jc w:val="both"/>
      </w:pPr>
      <w:r w:rsidRPr="00055C27">
        <w:rPr>
          <w:b/>
        </w:rPr>
        <w:t>Coronary artery disease mortality and stroke mortality</w:t>
      </w:r>
      <w:r>
        <w:t xml:space="preserve"> rates increase markedly with each increase in BP stage and the risk further increases dramatically if </w:t>
      </w:r>
      <w:r w:rsidR="00511BF5" w:rsidRPr="00511BF5">
        <w:rPr>
          <w:b/>
        </w:rPr>
        <w:t>target</w:t>
      </w:r>
      <w:r w:rsidR="00511BF5">
        <w:t xml:space="preserve"> </w:t>
      </w:r>
      <w:r>
        <w:rPr>
          <w:b/>
        </w:rPr>
        <w:t xml:space="preserve">organ damage </w:t>
      </w:r>
      <w:r w:rsidRPr="000726AC">
        <w:t>is present</w:t>
      </w:r>
      <w:r>
        <w:rPr>
          <w:b/>
        </w:rPr>
        <w:t xml:space="preserve"> </w:t>
      </w:r>
      <w:r w:rsidRPr="004248CF">
        <w:t>(eg LVH</w:t>
      </w:r>
      <w:r>
        <w:t>, carotid plaque, decreased gl</w:t>
      </w:r>
      <w:r w:rsidR="00E07A4E">
        <w:t>om</w:t>
      </w:r>
      <w:r>
        <w:t xml:space="preserve">erular filtration rate or microalbuminuria) or if additional risk factors for CAD are present such as </w:t>
      </w:r>
      <w:r w:rsidRPr="000726AC">
        <w:rPr>
          <w:b/>
        </w:rPr>
        <w:t>hyperlipidaemia, diabetes mellitus or chronic renal disease</w:t>
      </w:r>
      <w:r>
        <w:t>.</w:t>
      </w:r>
    </w:p>
    <w:p w14:paraId="51084D1F" w14:textId="77777777" w:rsidR="002D7ECC" w:rsidRDefault="004248CF" w:rsidP="002D7ECC">
      <w:pPr>
        <w:ind w:left="-142" w:right="-46"/>
        <w:jc w:val="both"/>
      </w:pPr>
      <w:r>
        <w:t>The JNC7 guidelines recommended a lower threshold (</w:t>
      </w:r>
      <w:r>
        <w:rPr>
          <w:b/>
        </w:rPr>
        <w:t>130/80</w:t>
      </w:r>
      <w:r>
        <w:t xml:space="preserve">) for commencing antihypertensive treatment in patients with </w:t>
      </w:r>
      <w:r>
        <w:rPr>
          <w:b/>
        </w:rPr>
        <w:t>renal disease</w:t>
      </w:r>
      <w:r>
        <w:t xml:space="preserve"> or </w:t>
      </w:r>
      <w:r>
        <w:rPr>
          <w:b/>
        </w:rPr>
        <w:t xml:space="preserve">diabetes. </w:t>
      </w:r>
      <w:r>
        <w:t>Subsequently the group of patients considered to be high-risk was expanded to include individuals with:-</w:t>
      </w:r>
    </w:p>
    <w:p w14:paraId="46838CA2" w14:textId="77777777" w:rsidR="004248CF" w:rsidRDefault="00E07A4E" w:rsidP="00861646">
      <w:pPr>
        <w:pStyle w:val="ListParagraph"/>
        <w:numPr>
          <w:ilvl w:val="0"/>
          <w:numId w:val="4"/>
        </w:numPr>
        <w:ind w:right="-46"/>
        <w:jc w:val="both"/>
      </w:pPr>
      <w:r>
        <w:t>established coronary artery disease</w:t>
      </w:r>
    </w:p>
    <w:p w14:paraId="3FB702AF" w14:textId="77777777" w:rsidR="00861646" w:rsidRDefault="00E07A4E" w:rsidP="00861646">
      <w:pPr>
        <w:pStyle w:val="ListParagraph"/>
        <w:numPr>
          <w:ilvl w:val="0"/>
          <w:numId w:val="4"/>
        </w:numPr>
        <w:ind w:right="-46"/>
        <w:jc w:val="both"/>
      </w:pPr>
      <w:r>
        <w:t>carotid artery disease (carotid bruit or abnormal ultrasound)</w:t>
      </w:r>
    </w:p>
    <w:p w14:paraId="6AEED9A0" w14:textId="77777777" w:rsidR="00E07A4E" w:rsidRDefault="00E07A4E" w:rsidP="00861646">
      <w:pPr>
        <w:pStyle w:val="ListParagraph"/>
        <w:numPr>
          <w:ilvl w:val="0"/>
          <w:numId w:val="4"/>
        </w:numPr>
        <w:ind w:right="-46"/>
        <w:jc w:val="both"/>
      </w:pPr>
      <w:r>
        <w:t>peripheral vascular disease</w:t>
      </w:r>
    </w:p>
    <w:p w14:paraId="681FB819" w14:textId="77777777" w:rsidR="00E07A4E" w:rsidRDefault="00E07A4E" w:rsidP="00861646">
      <w:pPr>
        <w:pStyle w:val="ListParagraph"/>
        <w:numPr>
          <w:ilvl w:val="0"/>
          <w:numId w:val="4"/>
        </w:numPr>
        <w:ind w:right="-46"/>
        <w:jc w:val="both"/>
      </w:pPr>
      <w:r>
        <w:t>abdominal aortic aneurysm</w:t>
      </w:r>
    </w:p>
    <w:p w14:paraId="23E6835B" w14:textId="77777777" w:rsidR="00861646" w:rsidRDefault="00E07A4E" w:rsidP="00861646">
      <w:pPr>
        <w:pStyle w:val="ListParagraph"/>
        <w:numPr>
          <w:ilvl w:val="0"/>
          <w:numId w:val="4"/>
        </w:numPr>
        <w:ind w:right="-46"/>
        <w:jc w:val="both"/>
      </w:pPr>
      <w:r>
        <w:t>heart failure</w:t>
      </w:r>
    </w:p>
    <w:p w14:paraId="5D49FF97" w14:textId="77777777" w:rsidR="009369BD" w:rsidRDefault="00E07A4E" w:rsidP="00861646">
      <w:pPr>
        <w:pStyle w:val="ListParagraph"/>
        <w:numPr>
          <w:ilvl w:val="0"/>
          <w:numId w:val="4"/>
        </w:numPr>
        <w:ind w:right="-46"/>
        <w:jc w:val="both"/>
      </w:pPr>
      <w:r>
        <w:t>high risk for CAD (</w:t>
      </w:r>
      <w:proofErr w:type="gramStart"/>
      <w:r>
        <w:t>10 year</w:t>
      </w:r>
      <w:proofErr w:type="gramEnd"/>
      <w:r>
        <w:t xml:space="preserve"> Framingham risk score of &gt;10%)</w:t>
      </w:r>
    </w:p>
    <w:p w14:paraId="7ADF3345" w14:textId="77777777" w:rsidR="00E07A4E" w:rsidRDefault="00E07A4E" w:rsidP="00055C27">
      <w:pPr>
        <w:ind w:left="-142" w:right="-46"/>
        <w:jc w:val="both"/>
        <w:rPr>
          <w:b/>
          <w:sz w:val="28"/>
        </w:rPr>
      </w:pPr>
      <w:r w:rsidRPr="00542251">
        <w:rPr>
          <w:b/>
          <w:sz w:val="28"/>
        </w:rPr>
        <w:t>Muddying the waters</w:t>
      </w:r>
      <w:r w:rsidRPr="000726AC">
        <w:rPr>
          <w:sz w:val="28"/>
        </w:rPr>
        <w:t xml:space="preserve"> : </w:t>
      </w:r>
      <w:r w:rsidRPr="000726AC">
        <w:rPr>
          <w:b/>
          <w:sz w:val="28"/>
        </w:rPr>
        <w:t>the JNC8 Hypertension Guidelines</w:t>
      </w:r>
    </w:p>
    <w:p w14:paraId="5FBEE217" w14:textId="77777777" w:rsidR="00542251" w:rsidRDefault="00542251" w:rsidP="00055C27">
      <w:pPr>
        <w:ind w:left="-142" w:right="-46"/>
        <w:jc w:val="both"/>
      </w:pPr>
      <w:r w:rsidRPr="00542251">
        <w:t>After a long gestation</w:t>
      </w:r>
      <w:r>
        <w:t xml:space="preserve"> the JNC8 Guidelines were published in JAMA in December 2013. These guidelines surprised by relaxing the thresholds at which drug therapy should be initiated; the rationale being that there was insufficient evidence that the lower BP goals recommended by JNC</w:t>
      </w:r>
      <w:r w:rsidR="00CE09F1">
        <w:t>7</w:t>
      </w:r>
      <w:r>
        <w:t xml:space="preserve"> improved patient outcomes</w:t>
      </w:r>
      <w:r w:rsidR="00BC60E7">
        <w:t>. It was felt</w:t>
      </w:r>
      <w:r>
        <w:t xml:space="preserve"> that the new thresholds might improve patient compliance by using fewer medications while minimizing adverse effects of low BP such as sexual dysfunction and presyncopal events. As previously the importance of </w:t>
      </w:r>
      <w:r w:rsidRPr="00542251">
        <w:rPr>
          <w:b/>
        </w:rPr>
        <w:t>diet</w:t>
      </w:r>
      <w:r>
        <w:t xml:space="preserve">, reduced </w:t>
      </w:r>
      <w:r w:rsidRPr="00CE09F1">
        <w:rPr>
          <w:b/>
        </w:rPr>
        <w:t>sodium intake</w:t>
      </w:r>
      <w:r>
        <w:t xml:space="preserve">, decreased </w:t>
      </w:r>
      <w:r w:rsidRPr="00CE09F1">
        <w:rPr>
          <w:b/>
        </w:rPr>
        <w:t>alcohol intake</w:t>
      </w:r>
      <w:r>
        <w:t xml:space="preserve">, regular </w:t>
      </w:r>
      <w:r w:rsidRPr="00542251">
        <w:rPr>
          <w:b/>
        </w:rPr>
        <w:t>exercise</w:t>
      </w:r>
      <w:r>
        <w:t xml:space="preserve"> most days of the week and </w:t>
      </w:r>
      <w:r w:rsidRPr="00542251">
        <w:rPr>
          <w:b/>
        </w:rPr>
        <w:t>weight loss</w:t>
      </w:r>
      <w:r>
        <w:t xml:space="preserve"> in controlling BP were emphasized. </w:t>
      </w:r>
    </w:p>
    <w:p w14:paraId="38F4684B" w14:textId="77777777" w:rsidR="00542251" w:rsidRPr="00CF4DA1" w:rsidRDefault="00542251" w:rsidP="00055C27">
      <w:pPr>
        <w:ind w:left="-142" w:right="-46"/>
        <w:jc w:val="both"/>
        <w:rPr>
          <w:sz w:val="12"/>
        </w:rPr>
      </w:pPr>
      <w:r>
        <w:t>Major recommendations of JNC8 include</w:t>
      </w:r>
      <w:r w:rsidR="00287BCF">
        <w:t>d</w:t>
      </w:r>
      <w:r>
        <w:t>:</w:t>
      </w:r>
    </w:p>
    <w:p w14:paraId="1351DA38" w14:textId="77777777" w:rsidR="00542251" w:rsidRDefault="00542251" w:rsidP="00542251">
      <w:pPr>
        <w:pStyle w:val="ListParagraph"/>
        <w:numPr>
          <w:ilvl w:val="0"/>
          <w:numId w:val="4"/>
        </w:numPr>
        <w:ind w:right="-46"/>
        <w:jc w:val="both"/>
      </w:pPr>
      <w:r>
        <w:t xml:space="preserve">in patients </w:t>
      </w:r>
      <w:r w:rsidRPr="00542251">
        <w:rPr>
          <w:b/>
        </w:rPr>
        <w:t>&lt;60 years</w:t>
      </w:r>
      <w:r>
        <w:t xml:space="preserve"> of age recommended BP </w:t>
      </w:r>
      <w:r w:rsidR="00287BCF">
        <w:t>was</w:t>
      </w:r>
      <w:r>
        <w:t xml:space="preserve"> </w:t>
      </w:r>
      <w:r>
        <w:rPr>
          <w:b/>
        </w:rPr>
        <w:t>&lt;140/</w:t>
      </w:r>
      <w:r w:rsidRPr="00542251">
        <w:rPr>
          <w:b/>
        </w:rPr>
        <w:t>90</w:t>
      </w:r>
    </w:p>
    <w:p w14:paraId="462D4912" w14:textId="77777777" w:rsidR="00542251" w:rsidRPr="00C571D5" w:rsidRDefault="00542251" w:rsidP="00542251">
      <w:pPr>
        <w:pStyle w:val="ListParagraph"/>
        <w:numPr>
          <w:ilvl w:val="0"/>
          <w:numId w:val="4"/>
        </w:numPr>
        <w:ind w:right="-46"/>
        <w:jc w:val="both"/>
      </w:pPr>
      <w:r w:rsidRPr="00C571D5">
        <w:t xml:space="preserve">in individuals </w:t>
      </w:r>
      <w:r w:rsidRPr="00C571D5">
        <w:rPr>
          <w:rFonts w:cs="Arial"/>
          <w:b/>
        </w:rPr>
        <w:t>≥60 years</w:t>
      </w:r>
      <w:r w:rsidRPr="00C571D5">
        <w:rPr>
          <w:rFonts w:cs="Arial"/>
        </w:rPr>
        <w:t xml:space="preserve"> recommended BP </w:t>
      </w:r>
      <w:r w:rsidR="00287BCF">
        <w:rPr>
          <w:rFonts w:cs="Arial"/>
        </w:rPr>
        <w:t>was</w:t>
      </w:r>
      <w:r w:rsidRPr="00C571D5">
        <w:rPr>
          <w:rFonts w:cs="Arial"/>
        </w:rPr>
        <w:t xml:space="preserve"> </w:t>
      </w:r>
      <w:r w:rsidRPr="00C571D5">
        <w:rPr>
          <w:rFonts w:cs="Arial"/>
          <w:b/>
        </w:rPr>
        <w:t>&lt;150/90</w:t>
      </w:r>
    </w:p>
    <w:p w14:paraId="52591041" w14:textId="77777777" w:rsidR="00C571D5" w:rsidRPr="00C571D5" w:rsidRDefault="00C571D5" w:rsidP="00542251">
      <w:pPr>
        <w:pStyle w:val="ListParagraph"/>
        <w:numPr>
          <w:ilvl w:val="0"/>
          <w:numId w:val="4"/>
        </w:numPr>
        <w:ind w:right="-46"/>
        <w:jc w:val="both"/>
      </w:pPr>
      <w:r w:rsidRPr="00C571D5">
        <w:rPr>
          <w:rFonts w:cs="Arial"/>
        </w:rPr>
        <w:t>in patients</w:t>
      </w:r>
      <w:r>
        <w:rPr>
          <w:rFonts w:cs="Arial"/>
        </w:rPr>
        <w:t xml:space="preserve"> with </w:t>
      </w:r>
      <w:r w:rsidRPr="00C571D5">
        <w:rPr>
          <w:rFonts w:cs="Arial"/>
          <w:b/>
        </w:rPr>
        <w:t>chronic renal disease</w:t>
      </w:r>
      <w:r>
        <w:rPr>
          <w:rFonts w:cs="Arial"/>
        </w:rPr>
        <w:t xml:space="preserve"> or </w:t>
      </w:r>
      <w:r w:rsidRPr="00C571D5">
        <w:rPr>
          <w:rFonts w:cs="Arial"/>
          <w:b/>
        </w:rPr>
        <w:t>diabetes mellitus</w:t>
      </w:r>
      <w:r w:rsidR="00CE09F1">
        <w:rPr>
          <w:rFonts w:cs="Arial"/>
          <w:b/>
        </w:rPr>
        <w:t xml:space="preserve"> </w:t>
      </w:r>
      <w:r w:rsidR="00CE09F1">
        <w:rPr>
          <w:rFonts w:cs="Arial"/>
        </w:rPr>
        <w:t xml:space="preserve">recommended BP </w:t>
      </w:r>
      <w:r w:rsidR="00287BCF">
        <w:rPr>
          <w:rFonts w:cs="Arial"/>
        </w:rPr>
        <w:t>was</w:t>
      </w:r>
      <w:r w:rsidR="00CE09F1">
        <w:rPr>
          <w:rFonts w:cs="Arial"/>
        </w:rPr>
        <w:t xml:space="preserve"> </w:t>
      </w:r>
      <w:r w:rsidR="00CE09F1">
        <w:rPr>
          <w:rFonts w:cs="Arial"/>
          <w:b/>
        </w:rPr>
        <w:t>&lt;140/90</w:t>
      </w:r>
    </w:p>
    <w:p w14:paraId="3DD169DA" w14:textId="77777777" w:rsidR="00C571D5" w:rsidRPr="00C571D5" w:rsidRDefault="00C571D5" w:rsidP="00542251">
      <w:pPr>
        <w:pStyle w:val="ListParagraph"/>
        <w:numPr>
          <w:ilvl w:val="0"/>
          <w:numId w:val="4"/>
        </w:numPr>
        <w:ind w:right="-46"/>
        <w:jc w:val="both"/>
      </w:pPr>
      <w:r>
        <w:rPr>
          <w:rFonts w:cs="Arial"/>
        </w:rPr>
        <w:t xml:space="preserve">first line drug therapy </w:t>
      </w:r>
      <w:r w:rsidR="00287BCF">
        <w:rPr>
          <w:rFonts w:cs="Arial"/>
        </w:rPr>
        <w:t>was</w:t>
      </w:r>
      <w:r>
        <w:rPr>
          <w:rFonts w:cs="Arial"/>
        </w:rPr>
        <w:t xml:space="preserve"> limited to </w:t>
      </w:r>
      <w:r w:rsidRPr="00C571D5">
        <w:rPr>
          <w:rFonts w:cs="Arial"/>
          <w:b/>
        </w:rPr>
        <w:t>4</w:t>
      </w:r>
      <w:r>
        <w:rPr>
          <w:rFonts w:cs="Arial"/>
        </w:rPr>
        <w:t xml:space="preserve"> drug classes, viz</w:t>
      </w:r>
    </w:p>
    <w:p w14:paraId="25D69AAD" w14:textId="77777777" w:rsidR="00C571D5" w:rsidRPr="00C571D5" w:rsidRDefault="00C571D5" w:rsidP="00C571D5">
      <w:pPr>
        <w:pStyle w:val="ListParagraph"/>
        <w:numPr>
          <w:ilvl w:val="0"/>
          <w:numId w:val="6"/>
        </w:numPr>
        <w:ind w:right="-46"/>
        <w:jc w:val="both"/>
      </w:pPr>
      <w:r>
        <w:rPr>
          <w:rFonts w:cs="Arial"/>
        </w:rPr>
        <w:t>thiazide-type diuretics</w:t>
      </w:r>
    </w:p>
    <w:p w14:paraId="34F8A774" w14:textId="77777777" w:rsidR="00C571D5" w:rsidRPr="00C571D5" w:rsidRDefault="00C571D5" w:rsidP="00C571D5">
      <w:pPr>
        <w:pStyle w:val="ListParagraph"/>
        <w:numPr>
          <w:ilvl w:val="0"/>
          <w:numId w:val="6"/>
        </w:numPr>
        <w:ind w:right="-46"/>
        <w:jc w:val="both"/>
      </w:pPr>
      <w:r>
        <w:rPr>
          <w:rFonts w:cs="Arial"/>
        </w:rPr>
        <w:t>calcium channel blockers (CCBs)</w:t>
      </w:r>
    </w:p>
    <w:p w14:paraId="423CE75B" w14:textId="77777777" w:rsidR="00C571D5" w:rsidRPr="00C571D5" w:rsidRDefault="00C571D5" w:rsidP="00C571D5">
      <w:pPr>
        <w:pStyle w:val="ListParagraph"/>
        <w:numPr>
          <w:ilvl w:val="0"/>
          <w:numId w:val="6"/>
        </w:numPr>
        <w:ind w:right="-46"/>
        <w:jc w:val="both"/>
      </w:pPr>
      <w:r>
        <w:rPr>
          <w:rFonts w:cs="Arial"/>
        </w:rPr>
        <w:t>angiotensin converting enzyme inhibitors (ACEIs)</w:t>
      </w:r>
    </w:p>
    <w:p w14:paraId="35845C36" w14:textId="77777777" w:rsidR="00C571D5" w:rsidRPr="00C571D5" w:rsidRDefault="00C571D5" w:rsidP="00C571D5">
      <w:pPr>
        <w:pStyle w:val="ListParagraph"/>
        <w:numPr>
          <w:ilvl w:val="0"/>
          <w:numId w:val="6"/>
        </w:numPr>
        <w:ind w:right="-46"/>
        <w:jc w:val="both"/>
      </w:pPr>
      <w:r>
        <w:rPr>
          <w:rFonts w:cs="Arial"/>
        </w:rPr>
        <w:t>angiotensin receptor blockers (ARBs)</w:t>
      </w:r>
    </w:p>
    <w:p w14:paraId="31D24867" w14:textId="77777777" w:rsidR="00C571D5" w:rsidRPr="00C571D5" w:rsidRDefault="00C571D5" w:rsidP="00542251">
      <w:pPr>
        <w:pStyle w:val="ListParagraph"/>
        <w:numPr>
          <w:ilvl w:val="0"/>
          <w:numId w:val="4"/>
        </w:numPr>
        <w:ind w:right="-46"/>
        <w:jc w:val="both"/>
      </w:pPr>
      <w:r>
        <w:rPr>
          <w:rFonts w:cs="Arial"/>
        </w:rPr>
        <w:t>later-</w:t>
      </w:r>
      <w:r w:rsidR="00D72B12">
        <w:rPr>
          <w:rFonts w:cs="Arial"/>
        </w:rPr>
        <w:t>line drug alternatives include</w:t>
      </w:r>
      <w:r w:rsidR="00287BCF">
        <w:rPr>
          <w:rFonts w:cs="Arial"/>
        </w:rPr>
        <w:t>d</w:t>
      </w:r>
      <w:r w:rsidR="00D72B12">
        <w:rPr>
          <w:rFonts w:cs="Arial"/>
        </w:rPr>
        <w:t xml:space="preserve"> </w:t>
      </w:r>
      <w:r w:rsidR="00CD0038">
        <w:rPr>
          <w:rFonts w:ascii="Arial" w:hAnsi="Arial" w:cs="Arial"/>
        </w:rPr>
        <w:t>ᵦ</w:t>
      </w:r>
      <w:r w:rsidR="00D72B12">
        <w:rPr>
          <w:rFonts w:cs="Arial"/>
        </w:rPr>
        <w:t xml:space="preserve">-blockers, </w:t>
      </w:r>
      <w:r w:rsidR="00D64A16" w:rsidRPr="00D64A16">
        <w:rPr>
          <w:rFonts w:cs="Arial"/>
        </w:rPr>
        <w:t>α</w:t>
      </w:r>
      <w:r w:rsidR="00D64A16">
        <w:rPr>
          <w:rFonts w:ascii="Arial" w:hAnsi="Arial" w:cs="Arial"/>
        </w:rPr>
        <w:t>-</w:t>
      </w:r>
      <w:r w:rsidR="00D64A16">
        <w:rPr>
          <w:rFonts w:cs="Arial"/>
        </w:rPr>
        <w:t xml:space="preserve">blockers, </w:t>
      </w:r>
      <w:r w:rsidR="00D64A16" w:rsidRPr="00D64A16">
        <w:rPr>
          <w:rFonts w:cs="Arial"/>
        </w:rPr>
        <w:t>α</w:t>
      </w:r>
      <w:r w:rsidR="00BC60E7">
        <w:rPr>
          <w:rFonts w:cs="Arial"/>
        </w:rPr>
        <w:t>1/</w:t>
      </w:r>
      <w:r w:rsidR="00BC60E7">
        <w:rPr>
          <w:rFonts w:ascii="Arial" w:hAnsi="Arial" w:cs="Arial"/>
        </w:rPr>
        <w:t>ᵦ</w:t>
      </w:r>
      <w:r>
        <w:rPr>
          <w:rFonts w:cs="Arial"/>
        </w:rPr>
        <w:t>-blo</w:t>
      </w:r>
      <w:r w:rsidR="00D64A16">
        <w:rPr>
          <w:rFonts w:cs="Arial"/>
        </w:rPr>
        <w:t>ckers (</w:t>
      </w:r>
      <w:proofErr w:type="spellStart"/>
      <w:r w:rsidR="00D64A16">
        <w:rPr>
          <w:rFonts w:cs="Arial"/>
        </w:rPr>
        <w:t>eg</w:t>
      </w:r>
      <w:proofErr w:type="spellEnd"/>
      <w:r w:rsidR="00D64A16">
        <w:rPr>
          <w:rFonts w:cs="Arial"/>
        </w:rPr>
        <w:t xml:space="preserve"> carvedilol), central </w:t>
      </w:r>
      <w:r w:rsidR="00D64A16" w:rsidRPr="00D64A16">
        <w:rPr>
          <w:rFonts w:cs="Arial"/>
        </w:rPr>
        <w:t>α</w:t>
      </w:r>
      <w:r>
        <w:rPr>
          <w:rFonts w:cs="Arial"/>
        </w:rPr>
        <w:t>2-adrenergic blockers (eg clonidine), direct vasodilators (</w:t>
      </w:r>
      <w:proofErr w:type="spellStart"/>
      <w:r>
        <w:rPr>
          <w:rFonts w:cs="Arial"/>
        </w:rPr>
        <w:t>eg</w:t>
      </w:r>
      <w:proofErr w:type="spellEnd"/>
      <w:r>
        <w:rPr>
          <w:rFonts w:cs="Arial"/>
        </w:rPr>
        <w:t xml:space="preserve"> hydralazine), loop diuretics (frusemide) a</w:t>
      </w:r>
      <w:r w:rsidR="00A62D98">
        <w:rPr>
          <w:rFonts w:cs="Arial"/>
        </w:rPr>
        <w:t>nd aldosterone antagonists (spir</w:t>
      </w:r>
      <w:r>
        <w:rPr>
          <w:rFonts w:cs="Arial"/>
        </w:rPr>
        <w:t>onolactone)</w:t>
      </w:r>
    </w:p>
    <w:p w14:paraId="6B306784" w14:textId="77777777" w:rsidR="00C571D5" w:rsidRPr="00C571D5" w:rsidRDefault="00C571D5" w:rsidP="00542251">
      <w:pPr>
        <w:pStyle w:val="ListParagraph"/>
        <w:numPr>
          <w:ilvl w:val="0"/>
          <w:numId w:val="4"/>
        </w:numPr>
        <w:ind w:right="-46"/>
        <w:jc w:val="both"/>
      </w:pPr>
      <w:r>
        <w:rPr>
          <w:rFonts w:cs="Arial"/>
        </w:rPr>
        <w:t>ACEIs and ARBs should not be used together</w:t>
      </w:r>
    </w:p>
    <w:p w14:paraId="3B001376" w14:textId="77777777" w:rsidR="00C571D5" w:rsidRPr="0013196E" w:rsidRDefault="0013196E" w:rsidP="00542251">
      <w:pPr>
        <w:pStyle w:val="ListParagraph"/>
        <w:numPr>
          <w:ilvl w:val="0"/>
          <w:numId w:val="4"/>
        </w:numPr>
        <w:ind w:right="-46"/>
        <w:jc w:val="both"/>
      </w:pPr>
      <w:r>
        <w:rPr>
          <w:rFonts w:cs="Arial"/>
        </w:rPr>
        <w:t xml:space="preserve">ACEIs and ARBs </w:t>
      </w:r>
      <w:r w:rsidR="00287BCF">
        <w:rPr>
          <w:rFonts w:cs="Arial"/>
        </w:rPr>
        <w:t>we</w:t>
      </w:r>
      <w:r>
        <w:rPr>
          <w:rFonts w:cs="Arial"/>
        </w:rPr>
        <w:t xml:space="preserve">re recommended in all patients with chronic renal disease except in individuals over </w:t>
      </w:r>
      <w:r w:rsidRPr="0013196E">
        <w:rPr>
          <w:rFonts w:cs="Arial"/>
          <w:b/>
        </w:rPr>
        <w:t>75</w:t>
      </w:r>
      <w:r>
        <w:rPr>
          <w:rFonts w:cs="Arial"/>
        </w:rPr>
        <w:t xml:space="preserve"> years of age in whom CCBs and thiazide diuretics are indicated due to the risk of hyperkalaemia and further renal impairment</w:t>
      </w:r>
    </w:p>
    <w:p w14:paraId="0CF76DE9" w14:textId="77777777" w:rsidR="0013196E" w:rsidRPr="0013196E" w:rsidRDefault="0013196E" w:rsidP="00542251">
      <w:pPr>
        <w:pStyle w:val="ListParagraph"/>
        <w:numPr>
          <w:ilvl w:val="0"/>
          <w:numId w:val="4"/>
        </w:numPr>
        <w:ind w:right="-46"/>
        <w:jc w:val="both"/>
      </w:pPr>
      <w:r>
        <w:rPr>
          <w:rFonts w:cs="Arial"/>
        </w:rPr>
        <w:t>in patients of African descent (except those with renal disease) thiazide diuretics and CCBs lead to better outcomes compared to ACEIs and ARBs</w:t>
      </w:r>
    </w:p>
    <w:p w14:paraId="0B404788" w14:textId="77777777" w:rsidR="0013196E" w:rsidRPr="007F1F6C" w:rsidRDefault="0013196E" w:rsidP="0013196E">
      <w:pPr>
        <w:ind w:right="-46"/>
        <w:jc w:val="both"/>
        <w:rPr>
          <w:rFonts w:cs="Arial"/>
          <w:b/>
        </w:rPr>
      </w:pPr>
      <w:r>
        <w:t xml:space="preserve">Note that in </w:t>
      </w:r>
      <w:r w:rsidRPr="0013196E">
        <w:rPr>
          <w:b/>
        </w:rPr>
        <w:t>younger</w:t>
      </w:r>
      <w:r>
        <w:t xml:space="preserve"> patients </w:t>
      </w:r>
      <w:r w:rsidRPr="0013196E">
        <w:rPr>
          <w:b/>
        </w:rPr>
        <w:t>elevated DBP</w:t>
      </w:r>
      <w:r>
        <w:t xml:space="preserve"> is the greater cardiovascular risk factor while in patients </w:t>
      </w:r>
      <w:r w:rsidRPr="00C571D5">
        <w:rPr>
          <w:rFonts w:cs="Arial"/>
          <w:b/>
        </w:rPr>
        <w:t>≥60 years</w:t>
      </w:r>
      <w:r>
        <w:rPr>
          <w:rFonts w:cs="Arial"/>
          <w:b/>
        </w:rPr>
        <w:t xml:space="preserve"> </w:t>
      </w:r>
      <w:r>
        <w:rPr>
          <w:rFonts w:cs="Arial"/>
        </w:rPr>
        <w:t xml:space="preserve">control of </w:t>
      </w:r>
      <w:r w:rsidRPr="0013196E">
        <w:rPr>
          <w:rFonts w:cs="Arial"/>
          <w:b/>
        </w:rPr>
        <w:t>SBP</w:t>
      </w:r>
      <w:r>
        <w:rPr>
          <w:rFonts w:cs="Arial"/>
        </w:rPr>
        <w:t xml:space="preserve"> is more important</w:t>
      </w:r>
      <w:r w:rsidR="00FC7F51">
        <w:rPr>
          <w:rFonts w:cs="Arial"/>
        </w:rPr>
        <w:t xml:space="preserve">. Elderly patients with a </w:t>
      </w:r>
      <w:r w:rsidR="00FC7F51">
        <w:rPr>
          <w:rFonts w:cs="Arial"/>
          <w:b/>
        </w:rPr>
        <w:t xml:space="preserve">high pulse pressure, </w:t>
      </w:r>
      <w:r w:rsidR="00FC7F51" w:rsidRPr="00FC7F51">
        <w:rPr>
          <w:rFonts w:cs="Arial"/>
        </w:rPr>
        <w:t>defined as</w:t>
      </w:r>
      <w:r w:rsidR="00FC7F51">
        <w:rPr>
          <w:rFonts w:cs="Arial"/>
          <w:b/>
        </w:rPr>
        <w:t xml:space="preserve"> </w:t>
      </w:r>
      <w:r w:rsidR="00FC7F51" w:rsidRPr="00FC7F51">
        <w:rPr>
          <w:rFonts w:cs="Arial"/>
        </w:rPr>
        <w:lastRenderedPageBreak/>
        <w:t>≥</w:t>
      </w:r>
      <w:r w:rsidR="00FB4801">
        <w:rPr>
          <w:rFonts w:cs="Arial"/>
        </w:rPr>
        <w:t>60mm Hg (</w:t>
      </w:r>
      <w:proofErr w:type="spellStart"/>
      <w:r w:rsidR="00FB4801">
        <w:rPr>
          <w:rFonts w:cs="Arial"/>
        </w:rPr>
        <w:t>ie</w:t>
      </w:r>
      <w:proofErr w:type="spellEnd"/>
      <w:r w:rsidR="00FB4801">
        <w:rPr>
          <w:rFonts w:cs="Arial"/>
        </w:rPr>
        <w:t xml:space="preserve"> high SBP and normal or low D</w:t>
      </w:r>
      <w:r w:rsidR="00FC7F51" w:rsidRPr="00FC7F51">
        <w:rPr>
          <w:rFonts w:cs="Arial"/>
        </w:rPr>
        <w:t xml:space="preserve">BP; </w:t>
      </w:r>
      <w:r w:rsidR="00FC7F51" w:rsidRPr="00FC7F51">
        <w:rPr>
          <w:rFonts w:cs="Arial"/>
          <w:b/>
        </w:rPr>
        <w:t>isolated systolic hypertension</w:t>
      </w:r>
      <w:r w:rsidR="00FC7F51" w:rsidRPr="00FC7F51">
        <w:rPr>
          <w:rFonts w:cs="Arial"/>
        </w:rPr>
        <w:t>) have a particularly high cardiovascular risk.</w:t>
      </w:r>
    </w:p>
    <w:p w14:paraId="3C04F59D" w14:textId="77777777" w:rsidR="00FC7F51" w:rsidRDefault="00FC7F51" w:rsidP="0013196E">
      <w:pPr>
        <w:ind w:right="-46"/>
        <w:jc w:val="both"/>
        <w:rPr>
          <w:rFonts w:cs="Arial"/>
          <w:b/>
          <w:sz w:val="28"/>
        </w:rPr>
      </w:pPr>
      <w:r>
        <w:rPr>
          <w:rFonts w:cs="Arial"/>
          <w:b/>
          <w:sz w:val="28"/>
        </w:rPr>
        <w:t>ESH/ESC Guidelines for the management of hypertension</w:t>
      </w:r>
    </w:p>
    <w:p w14:paraId="254F4D45" w14:textId="77777777" w:rsidR="00FC7F51" w:rsidRDefault="00FC7F51" w:rsidP="0013196E">
      <w:pPr>
        <w:ind w:right="-46"/>
        <w:jc w:val="both"/>
        <w:rPr>
          <w:rFonts w:cs="Arial"/>
        </w:rPr>
      </w:pPr>
      <w:r>
        <w:rPr>
          <w:rFonts w:cs="Arial"/>
        </w:rPr>
        <w:t>In 2013 a Task Force of the European Society of Hypertension (</w:t>
      </w:r>
      <w:r>
        <w:rPr>
          <w:rFonts w:cs="Arial"/>
          <w:b/>
        </w:rPr>
        <w:t>ESH</w:t>
      </w:r>
      <w:r>
        <w:rPr>
          <w:rFonts w:cs="Arial"/>
        </w:rPr>
        <w:t>) and the European Society of Cardiology (</w:t>
      </w:r>
      <w:r>
        <w:rPr>
          <w:rFonts w:cs="Arial"/>
          <w:b/>
        </w:rPr>
        <w:t>ESC</w:t>
      </w:r>
      <w:r>
        <w:rPr>
          <w:rFonts w:cs="Arial"/>
        </w:rPr>
        <w:t>) also released revised guidelines for managing hypertension. The taskforce produced a comprehensive document on the evaluation and management of hypertension which was published in the European Heart Journal in 2013</w:t>
      </w:r>
      <w:r w:rsidR="00B54DD0">
        <w:rPr>
          <w:rFonts w:cs="Arial"/>
        </w:rPr>
        <w:t>. The document is recommended as a valuable source of information for all medical practitioners treating patients with hypertension.</w:t>
      </w:r>
    </w:p>
    <w:p w14:paraId="6E54239C" w14:textId="77777777" w:rsidR="00B54DD0" w:rsidRDefault="00B54DD0" w:rsidP="0013196E">
      <w:pPr>
        <w:ind w:right="-46"/>
        <w:jc w:val="both"/>
        <w:rPr>
          <w:rFonts w:cs="Arial"/>
        </w:rPr>
      </w:pPr>
      <w:r>
        <w:rPr>
          <w:rFonts w:cs="Arial"/>
        </w:rPr>
        <w:t>The ESH/ESC classified BP as follows:-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701"/>
        <w:gridCol w:w="1701"/>
      </w:tblGrid>
      <w:tr w:rsidR="00B54DD0" w14:paraId="30AD05E4" w14:textId="77777777" w:rsidTr="00B54DD0">
        <w:tc>
          <w:tcPr>
            <w:tcW w:w="2409" w:type="dxa"/>
          </w:tcPr>
          <w:p w14:paraId="2CE705D1" w14:textId="77777777" w:rsidR="00B54DD0" w:rsidRPr="00B54DD0" w:rsidRDefault="00B54DD0" w:rsidP="0013196E">
            <w:pPr>
              <w:ind w:right="-46"/>
              <w:jc w:val="both"/>
              <w:rPr>
                <w:rFonts w:cs="Arial"/>
                <w:b/>
              </w:rPr>
            </w:pPr>
            <w:r>
              <w:rPr>
                <w:rFonts w:cs="Arial"/>
                <w:b/>
              </w:rPr>
              <w:t>High Normal</w:t>
            </w:r>
          </w:p>
        </w:tc>
        <w:tc>
          <w:tcPr>
            <w:tcW w:w="1701" w:type="dxa"/>
          </w:tcPr>
          <w:p w14:paraId="35D6FD5D" w14:textId="77777777" w:rsidR="00B54DD0" w:rsidRPr="00B54DD0" w:rsidRDefault="00B54DD0" w:rsidP="0013196E">
            <w:pPr>
              <w:ind w:right="-46"/>
              <w:jc w:val="both"/>
              <w:rPr>
                <w:rFonts w:cs="Arial"/>
              </w:rPr>
            </w:pPr>
            <w:r w:rsidRPr="00B54DD0">
              <w:rPr>
                <w:rFonts w:cs="Arial"/>
              </w:rPr>
              <w:t xml:space="preserve">SBP  </w:t>
            </w:r>
            <w:r w:rsidRPr="00B54DD0">
              <w:rPr>
                <w:rFonts w:cs="Arial"/>
                <w:b/>
              </w:rPr>
              <w:t>130-139</w:t>
            </w:r>
          </w:p>
        </w:tc>
        <w:tc>
          <w:tcPr>
            <w:tcW w:w="1701" w:type="dxa"/>
          </w:tcPr>
          <w:p w14:paraId="13C2BBD8" w14:textId="77777777" w:rsidR="00B54DD0" w:rsidRPr="00B54DD0" w:rsidRDefault="00B54DD0" w:rsidP="0013196E">
            <w:pPr>
              <w:ind w:right="-46"/>
              <w:jc w:val="both"/>
              <w:rPr>
                <w:rFonts w:cs="Arial"/>
              </w:rPr>
            </w:pPr>
            <w:r>
              <w:rPr>
                <w:rFonts w:cs="Arial"/>
              </w:rPr>
              <w:t xml:space="preserve">DBP  </w:t>
            </w:r>
            <w:r w:rsidRPr="00B54DD0">
              <w:rPr>
                <w:rFonts w:cs="Arial"/>
                <w:b/>
              </w:rPr>
              <w:t>85-89</w:t>
            </w:r>
          </w:p>
        </w:tc>
      </w:tr>
      <w:tr w:rsidR="00B54DD0" w14:paraId="75ADD87D" w14:textId="77777777" w:rsidTr="00B54DD0">
        <w:tc>
          <w:tcPr>
            <w:tcW w:w="2409" w:type="dxa"/>
          </w:tcPr>
          <w:p w14:paraId="78C7CD0C" w14:textId="77777777" w:rsidR="00B54DD0" w:rsidRPr="00B54DD0" w:rsidRDefault="00B54DD0" w:rsidP="0013196E">
            <w:pPr>
              <w:ind w:right="-46"/>
              <w:jc w:val="both"/>
              <w:rPr>
                <w:rFonts w:cs="Arial"/>
                <w:b/>
              </w:rPr>
            </w:pPr>
            <w:r>
              <w:rPr>
                <w:rFonts w:cs="Arial"/>
                <w:b/>
              </w:rPr>
              <w:t>Grade 1 Hypertension</w:t>
            </w:r>
          </w:p>
        </w:tc>
        <w:tc>
          <w:tcPr>
            <w:tcW w:w="1701" w:type="dxa"/>
          </w:tcPr>
          <w:p w14:paraId="241241AB" w14:textId="77777777" w:rsidR="00B54DD0" w:rsidRPr="00B54DD0" w:rsidRDefault="00B54DD0" w:rsidP="0013196E">
            <w:pPr>
              <w:ind w:right="-46"/>
              <w:jc w:val="both"/>
              <w:rPr>
                <w:rFonts w:cs="Arial"/>
              </w:rPr>
            </w:pPr>
            <w:r>
              <w:rPr>
                <w:rFonts w:cs="Arial"/>
              </w:rPr>
              <w:t xml:space="preserve">SBP  </w:t>
            </w:r>
            <w:r w:rsidRPr="00B54DD0">
              <w:rPr>
                <w:rFonts w:cs="Arial"/>
                <w:b/>
              </w:rPr>
              <w:t>140-159</w:t>
            </w:r>
          </w:p>
        </w:tc>
        <w:tc>
          <w:tcPr>
            <w:tcW w:w="1701" w:type="dxa"/>
          </w:tcPr>
          <w:p w14:paraId="6B6DFDC8" w14:textId="77777777" w:rsidR="00B54DD0" w:rsidRPr="00B54DD0" w:rsidRDefault="00B54DD0" w:rsidP="0013196E">
            <w:pPr>
              <w:ind w:right="-46"/>
              <w:jc w:val="both"/>
              <w:rPr>
                <w:rFonts w:cs="Arial"/>
              </w:rPr>
            </w:pPr>
            <w:r>
              <w:rPr>
                <w:rFonts w:cs="Arial"/>
              </w:rPr>
              <w:t xml:space="preserve">DBP  </w:t>
            </w:r>
            <w:r w:rsidRPr="00B54DD0">
              <w:rPr>
                <w:rFonts w:cs="Arial"/>
                <w:b/>
              </w:rPr>
              <w:t>90-99</w:t>
            </w:r>
          </w:p>
        </w:tc>
      </w:tr>
      <w:tr w:rsidR="00B54DD0" w14:paraId="2AFF187B" w14:textId="77777777" w:rsidTr="00B54DD0">
        <w:tc>
          <w:tcPr>
            <w:tcW w:w="2409" w:type="dxa"/>
          </w:tcPr>
          <w:p w14:paraId="295736E9" w14:textId="77777777" w:rsidR="00B54DD0" w:rsidRPr="00B54DD0" w:rsidRDefault="00B54DD0" w:rsidP="0013196E">
            <w:pPr>
              <w:ind w:right="-46"/>
              <w:jc w:val="both"/>
              <w:rPr>
                <w:rFonts w:cs="Arial"/>
                <w:b/>
              </w:rPr>
            </w:pPr>
            <w:r>
              <w:rPr>
                <w:rFonts w:cs="Arial"/>
                <w:b/>
              </w:rPr>
              <w:t>Grade 2 Hypertension</w:t>
            </w:r>
          </w:p>
        </w:tc>
        <w:tc>
          <w:tcPr>
            <w:tcW w:w="1701" w:type="dxa"/>
          </w:tcPr>
          <w:p w14:paraId="11E25A18" w14:textId="77777777" w:rsidR="00B54DD0" w:rsidRPr="00B54DD0" w:rsidRDefault="00B54DD0" w:rsidP="0013196E">
            <w:pPr>
              <w:ind w:right="-46"/>
              <w:jc w:val="both"/>
              <w:rPr>
                <w:rFonts w:cs="Arial"/>
              </w:rPr>
            </w:pPr>
            <w:r>
              <w:rPr>
                <w:rFonts w:cs="Arial"/>
              </w:rPr>
              <w:t xml:space="preserve">SBP  </w:t>
            </w:r>
            <w:r w:rsidRPr="00B54DD0">
              <w:rPr>
                <w:rFonts w:cs="Arial"/>
                <w:b/>
              </w:rPr>
              <w:t>160-179</w:t>
            </w:r>
          </w:p>
        </w:tc>
        <w:tc>
          <w:tcPr>
            <w:tcW w:w="1701" w:type="dxa"/>
          </w:tcPr>
          <w:p w14:paraId="33A70F34" w14:textId="77777777" w:rsidR="00B54DD0" w:rsidRPr="00B54DD0" w:rsidRDefault="00B54DD0" w:rsidP="0013196E">
            <w:pPr>
              <w:ind w:right="-46"/>
              <w:jc w:val="both"/>
              <w:rPr>
                <w:rFonts w:cs="Arial"/>
              </w:rPr>
            </w:pPr>
            <w:r>
              <w:rPr>
                <w:rFonts w:cs="Arial"/>
              </w:rPr>
              <w:t xml:space="preserve">DBP  </w:t>
            </w:r>
            <w:r w:rsidRPr="00B54DD0">
              <w:rPr>
                <w:rFonts w:cs="Arial"/>
                <w:b/>
              </w:rPr>
              <w:t>100-109</w:t>
            </w:r>
          </w:p>
        </w:tc>
      </w:tr>
      <w:tr w:rsidR="00B54DD0" w14:paraId="7C4B550D" w14:textId="77777777" w:rsidTr="00B54DD0">
        <w:tc>
          <w:tcPr>
            <w:tcW w:w="2409" w:type="dxa"/>
          </w:tcPr>
          <w:p w14:paraId="175AF151" w14:textId="77777777" w:rsidR="00B54DD0" w:rsidRPr="00B54DD0" w:rsidRDefault="00B54DD0" w:rsidP="0013196E">
            <w:pPr>
              <w:ind w:right="-46"/>
              <w:jc w:val="both"/>
              <w:rPr>
                <w:rFonts w:cs="Arial"/>
                <w:b/>
              </w:rPr>
            </w:pPr>
            <w:r>
              <w:rPr>
                <w:rFonts w:cs="Arial"/>
                <w:b/>
              </w:rPr>
              <w:t>Grade 3 Hypertension</w:t>
            </w:r>
          </w:p>
        </w:tc>
        <w:tc>
          <w:tcPr>
            <w:tcW w:w="1701" w:type="dxa"/>
          </w:tcPr>
          <w:p w14:paraId="16E8609C" w14:textId="77777777" w:rsidR="00B54DD0" w:rsidRPr="00B54DD0" w:rsidRDefault="00B54DD0" w:rsidP="0013196E">
            <w:pPr>
              <w:ind w:right="-46"/>
              <w:jc w:val="both"/>
              <w:rPr>
                <w:rFonts w:cs="Arial"/>
              </w:rPr>
            </w:pPr>
            <w:r>
              <w:rPr>
                <w:rFonts w:cs="Arial"/>
              </w:rPr>
              <w:t xml:space="preserve">SBP  </w:t>
            </w:r>
            <w:r w:rsidRPr="00B54DD0">
              <w:rPr>
                <w:rFonts w:ascii="Arial" w:hAnsi="Arial" w:cs="Arial"/>
                <w:b/>
              </w:rPr>
              <w:t>≥</w:t>
            </w:r>
            <w:r w:rsidRPr="00B54DD0">
              <w:rPr>
                <w:rFonts w:cs="Arial"/>
                <w:b/>
              </w:rPr>
              <w:t xml:space="preserve"> 180</w:t>
            </w:r>
          </w:p>
        </w:tc>
        <w:tc>
          <w:tcPr>
            <w:tcW w:w="1701" w:type="dxa"/>
          </w:tcPr>
          <w:p w14:paraId="6BCEEC47" w14:textId="77777777" w:rsidR="00B54DD0" w:rsidRPr="00B54DD0" w:rsidRDefault="00B54DD0" w:rsidP="0013196E">
            <w:pPr>
              <w:ind w:right="-46"/>
              <w:jc w:val="both"/>
              <w:rPr>
                <w:rFonts w:cs="Arial"/>
              </w:rPr>
            </w:pPr>
            <w:r>
              <w:rPr>
                <w:rFonts w:cs="Arial"/>
              </w:rPr>
              <w:t xml:space="preserve">DBP  </w:t>
            </w:r>
            <w:r w:rsidRPr="00B54DD0">
              <w:rPr>
                <w:rFonts w:ascii="Arial" w:hAnsi="Arial" w:cs="Arial"/>
                <w:b/>
              </w:rPr>
              <w:t>≥</w:t>
            </w:r>
            <w:r w:rsidRPr="00B54DD0">
              <w:rPr>
                <w:rFonts w:cs="Arial"/>
                <w:b/>
              </w:rPr>
              <w:t>110</w:t>
            </w:r>
          </w:p>
        </w:tc>
      </w:tr>
    </w:tbl>
    <w:p w14:paraId="710ADE43" w14:textId="77777777" w:rsidR="00B54DD0" w:rsidRDefault="00B54DD0" w:rsidP="0013196E">
      <w:pPr>
        <w:ind w:right="-46"/>
        <w:jc w:val="both"/>
        <w:rPr>
          <w:rFonts w:cs="Arial"/>
        </w:rPr>
      </w:pPr>
    </w:p>
    <w:p w14:paraId="48FDAAFF" w14:textId="77777777" w:rsidR="007F1F6C" w:rsidRPr="007F1F6C" w:rsidRDefault="007F1F6C" w:rsidP="007F1F6C">
      <w:pPr>
        <w:rPr>
          <w:rFonts w:cs="Arial"/>
          <w:szCs w:val="24"/>
        </w:rPr>
      </w:pPr>
      <w:r w:rsidRPr="007F1F6C">
        <w:rPr>
          <w:rFonts w:cs="Arial"/>
          <w:szCs w:val="24"/>
        </w:rPr>
        <w:t>Also identified by the ESH/ESC were additional risk factors, including:-</w:t>
      </w:r>
    </w:p>
    <w:p w14:paraId="4695DFD0" w14:textId="77777777" w:rsidR="007F1F6C" w:rsidRPr="007F1F6C" w:rsidRDefault="007F1F6C" w:rsidP="007F1F6C">
      <w:pPr>
        <w:pStyle w:val="ListParagraph"/>
        <w:numPr>
          <w:ilvl w:val="0"/>
          <w:numId w:val="8"/>
        </w:numPr>
        <w:rPr>
          <w:szCs w:val="24"/>
        </w:rPr>
      </w:pPr>
      <w:r w:rsidRPr="007F1F6C">
        <w:rPr>
          <w:szCs w:val="24"/>
        </w:rPr>
        <w:t>sedentary individuals or patients with central obesity</w:t>
      </w:r>
    </w:p>
    <w:p w14:paraId="7EB80CF8" w14:textId="77777777" w:rsidR="007F1F6C" w:rsidRPr="007F1F6C" w:rsidRDefault="007F1F6C" w:rsidP="007F1F6C">
      <w:pPr>
        <w:pStyle w:val="ListParagraph"/>
        <w:numPr>
          <w:ilvl w:val="0"/>
          <w:numId w:val="8"/>
        </w:numPr>
        <w:rPr>
          <w:szCs w:val="24"/>
        </w:rPr>
      </w:pPr>
      <w:r w:rsidRPr="007F1F6C">
        <w:rPr>
          <w:szCs w:val="24"/>
        </w:rPr>
        <w:t>elevated fasting glucose and/or abnormal GTT</w:t>
      </w:r>
    </w:p>
    <w:p w14:paraId="75D68133" w14:textId="77777777" w:rsidR="007F1F6C" w:rsidRPr="007F1F6C" w:rsidRDefault="007F1F6C" w:rsidP="007F1F6C">
      <w:pPr>
        <w:pStyle w:val="ListParagraph"/>
        <w:numPr>
          <w:ilvl w:val="0"/>
          <w:numId w:val="8"/>
        </w:numPr>
        <w:rPr>
          <w:szCs w:val="24"/>
        </w:rPr>
      </w:pPr>
      <w:r w:rsidRPr="007F1F6C">
        <w:rPr>
          <w:szCs w:val="24"/>
        </w:rPr>
        <w:t>raised triglycerides, fibrinogen, apolipoprotein B, lipoprotein (a) and high-sensitivity C-reactive protein levels</w:t>
      </w:r>
    </w:p>
    <w:p w14:paraId="41276C27" w14:textId="77777777" w:rsidR="007F1F6C" w:rsidRPr="007F1F6C" w:rsidRDefault="007F1F6C" w:rsidP="007F1F6C">
      <w:pPr>
        <w:pStyle w:val="ListParagraph"/>
        <w:numPr>
          <w:ilvl w:val="0"/>
          <w:numId w:val="8"/>
        </w:numPr>
        <w:rPr>
          <w:szCs w:val="24"/>
        </w:rPr>
      </w:pPr>
      <w:r w:rsidRPr="007F1F6C">
        <w:rPr>
          <w:szCs w:val="24"/>
        </w:rPr>
        <w:t>family history of premature CVD, defined as &lt;55 years in males and &lt;65 years in females</w:t>
      </w:r>
    </w:p>
    <w:p w14:paraId="206CD9EE" w14:textId="77777777" w:rsidR="00287BCF" w:rsidRDefault="00084A48" w:rsidP="007F1F6C">
      <w:pPr>
        <w:rPr>
          <w:b/>
          <w:sz w:val="28"/>
          <w:szCs w:val="28"/>
        </w:rPr>
      </w:pPr>
      <w:r>
        <w:rPr>
          <w:b/>
          <w:sz w:val="28"/>
          <w:szCs w:val="28"/>
        </w:rPr>
        <w:t>CURRENT RECOMMENDATIONS</w:t>
      </w:r>
    </w:p>
    <w:p w14:paraId="0AF13710" w14:textId="77777777" w:rsidR="00287BCF" w:rsidRDefault="00287BCF" w:rsidP="000B5A82">
      <w:pPr>
        <w:jc w:val="both"/>
      </w:pPr>
      <w:r>
        <w:t xml:space="preserve">In 2017 the American College of Cardiology (ACC) and American Heart Association (AHA) released updated guidelines on normal BP which were based on the </w:t>
      </w:r>
      <w:r w:rsidR="00782755">
        <w:rPr>
          <w:b/>
        </w:rPr>
        <w:t>Systolic Blood Pressure Intervention Trial (SPRINT)</w:t>
      </w:r>
      <w:r w:rsidR="00782755">
        <w:t xml:space="preserve">. This trial studied 9000 patients 50 years or older with SBP </w:t>
      </w:r>
      <w:r w:rsidR="00782755">
        <w:rPr>
          <w:rFonts w:cstheme="minorHAnsi"/>
        </w:rPr>
        <w:t xml:space="preserve">≥ </w:t>
      </w:r>
      <w:r w:rsidR="00782755">
        <w:t xml:space="preserve">130mm Hg </w:t>
      </w:r>
      <w:r w:rsidR="003859F8">
        <w:t xml:space="preserve">and 1 or more risk factors for coronary disease. Over a 3 year study period the researchers found that targeting an SBP of </w:t>
      </w:r>
      <w:r w:rsidR="003859F8">
        <w:rPr>
          <w:rFonts w:cstheme="minorHAnsi"/>
        </w:rPr>
        <w:t>≤</w:t>
      </w:r>
      <w:r w:rsidR="003859F8">
        <w:t xml:space="preserve"> 120mm Hg </w:t>
      </w:r>
      <w:r w:rsidR="00782755">
        <w:t xml:space="preserve">reduced the risk </w:t>
      </w:r>
      <w:r w:rsidR="00782755" w:rsidRPr="00782755">
        <w:t xml:space="preserve">of heart attacks, stroke and </w:t>
      </w:r>
      <w:r w:rsidR="003859F8">
        <w:t>h</w:t>
      </w:r>
      <w:r w:rsidR="00782755" w:rsidRPr="00782755">
        <w:t>ea</w:t>
      </w:r>
      <w:r w:rsidR="003859F8">
        <w:t>r</w:t>
      </w:r>
      <w:r w:rsidR="00782755" w:rsidRPr="00782755">
        <w:t>t failure</w:t>
      </w:r>
      <w:r w:rsidR="00782755">
        <w:t>.</w:t>
      </w:r>
    </w:p>
    <w:p w14:paraId="62DA0BBF" w14:textId="77777777" w:rsidR="00782755" w:rsidRDefault="00782755" w:rsidP="007F1F6C">
      <w:r>
        <w:t>The revised ACC/AHA guidelines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4621"/>
      </w:tblGrid>
      <w:tr w:rsidR="00782755" w14:paraId="5D4BB9EE" w14:textId="77777777" w:rsidTr="00782755">
        <w:tc>
          <w:tcPr>
            <w:tcW w:w="3804" w:type="dxa"/>
          </w:tcPr>
          <w:p w14:paraId="62017B4C" w14:textId="77777777" w:rsidR="00782755" w:rsidRPr="00782755" w:rsidRDefault="00782755" w:rsidP="007F1F6C">
            <w:pPr>
              <w:rPr>
                <w:b/>
              </w:rPr>
            </w:pPr>
            <w:r>
              <w:rPr>
                <w:b/>
              </w:rPr>
              <w:t>Normal BP</w:t>
            </w:r>
          </w:p>
        </w:tc>
        <w:tc>
          <w:tcPr>
            <w:tcW w:w="4621" w:type="dxa"/>
          </w:tcPr>
          <w:p w14:paraId="6DE3F570" w14:textId="77777777" w:rsidR="00782755" w:rsidRPr="00782755" w:rsidRDefault="00782755" w:rsidP="007F1F6C">
            <w:pPr>
              <w:rPr>
                <w:b/>
              </w:rPr>
            </w:pPr>
            <w:r>
              <w:rPr>
                <w:b/>
              </w:rPr>
              <w:t>&lt;120/80</w:t>
            </w:r>
          </w:p>
        </w:tc>
      </w:tr>
      <w:tr w:rsidR="00782755" w14:paraId="135C65A6" w14:textId="77777777" w:rsidTr="00782755">
        <w:tc>
          <w:tcPr>
            <w:tcW w:w="3804" w:type="dxa"/>
          </w:tcPr>
          <w:p w14:paraId="3D28BD32" w14:textId="77777777" w:rsidR="00782755" w:rsidRPr="00782755" w:rsidRDefault="00782755" w:rsidP="007F1F6C">
            <w:pPr>
              <w:rPr>
                <w:b/>
              </w:rPr>
            </w:pPr>
            <w:r>
              <w:rPr>
                <w:b/>
              </w:rPr>
              <w:t>Elevated BP</w:t>
            </w:r>
          </w:p>
        </w:tc>
        <w:tc>
          <w:tcPr>
            <w:tcW w:w="4621" w:type="dxa"/>
          </w:tcPr>
          <w:p w14:paraId="5EEF09EB" w14:textId="77777777" w:rsidR="00782755" w:rsidRDefault="00782755" w:rsidP="007F1F6C">
            <w:r>
              <w:t>SBP  120-129</w:t>
            </w:r>
          </w:p>
        </w:tc>
      </w:tr>
      <w:tr w:rsidR="00782755" w14:paraId="183FA46D" w14:textId="77777777" w:rsidTr="00782755">
        <w:tc>
          <w:tcPr>
            <w:tcW w:w="3804" w:type="dxa"/>
          </w:tcPr>
          <w:p w14:paraId="5AB44CA6" w14:textId="77777777" w:rsidR="00782755" w:rsidRDefault="00782755" w:rsidP="007F1F6C">
            <w:r>
              <w:t>Stage 1 Hypertension</w:t>
            </w:r>
          </w:p>
        </w:tc>
        <w:tc>
          <w:tcPr>
            <w:tcW w:w="4621" w:type="dxa"/>
          </w:tcPr>
          <w:p w14:paraId="51ED50C0" w14:textId="77777777" w:rsidR="00782755" w:rsidRDefault="00782755" w:rsidP="007F1F6C">
            <w:r>
              <w:t>SBP  130-139;  DBP  80-89</w:t>
            </w:r>
          </w:p>
        </w:tc>
      </w:tr>
      <w:tr w:rsidR="00782755" w14:paraId="72A3F356" w14:textId="77777777" w:rsidTr="00782755">
        <w:tc>
          <w:tcPr>
            <w:tcW w:w="3804" w:type="dxa"/>
          </w:tcPr>
          <w:p w14:paraId="5C93B8CC" w14:textId="77777777" w:rsidR="00782755" w:rsidRDefault="00782755" w:rsidP="007F1F6C">
            <w:r>
              <w:t>Stage 2 Hypertension</w:t>
            </w:r>
          </w:p>
        </w:tc>
        <w:tc>
          <w:tcPr>
            <w:tcW w:w="4621" w:type="dxa"/>
          </w:tcPr>
          <w:p w14:paraId="2A2543BA" w14:textId="77777777" w:rsidR="00782755" w:rsidRDefault="0071051F" w:rsidP="007F1F6C">
            <w:r>
              <w:t>&gt;140/90</w:t>
            </w:r>
          </w:p>
        </w:tc>
      </w:tr>
    </w:tbl>
    <w:p w14:paraId="16BB0FFF" w14:textId="77777777" w:rsidR="0071051F" w:rsidRDefault="0071051F" w:rsidP="0071051F">
      <w:pPr>
        <w:pStyle w:val="NoSpacing"/>
      </w:pPr>
    </w:p>
    <w:p w14:paraId="216176E4" w14:textId="77777777" w:rsidR="0071051F" w:rsidRDefault="0071051F" w:rsidP="000B5A82">
      <w:pPr>
        <w:pStyle w:val="NoSpacing"/>
        <w:jc w:val="both"/>
      </w:pPr>
      <w:r>
        <w:t xml:space="preserve">For </w:t>
      </w:r>
      <w:r>
        <w:rPr>
          <w:b/>
        </w:rPr>
        <w:t>Elevated BP</w:t>
      </w:r>
      <w:r>
        <w:t xml:space="preserve"> no medications are recommended, but healthy diet (increased vegetables and fruit, lean meat, fish), decreased salt intake, weight loss and no more than 2 alcoholic drinks a day for men and no more than 1 for women form the basis of management</w:t>
      </w:r>
    </w:p>
    <w:p w14:paraId="331AC6B8" w14:textId="77777777" w:rsidR="003859F8" w:rsidRDefault="0067278F" w:rsidP="000B5A82">
      <w:pPr>
        <w:pStyle w:val="NoSpacing"/>
        <w:jc w:val="both"/>
      </w:pPr>
      <w:r>
        <w:t xml:space="preserve">For </w:t>
      </w:r>
      <w:r>
        <w:rPr>
          <w:b/>
        </w:rPr>
        <w:t>Stage 1 Hypertension</w:t>
      </w:r>
      <w:r>
        <w:t xml:space="preserve"> lifestyle changes are again recommended with medication indicated if there is a &gt;10% risk of cardiovascular events in 10 years, and for </w:t>
      </w:r>
      <w:r w:rsidR="003859F8">
        <w:rPr>
          <w:b/>
        </w:rPr>
        <w:t>Stage 2 Hypertension</w:t>
      </w:r>
      <w:r w:rsidR="003859F8">
        <w:t xml:space="preserve"> drug therapy AND lifestyle changes are recommended. </w:t>
      </w:r>
    </w:p>
    <w:p w14:paraId="25465C09" w14:textId="77777777" w:rsidR="003859F8" w:rsidRDefault="003859F8" w:rsidP="000B5A82">
      <w:pPr>
        <w:pStyle w:val="NoSpacing"/>
        <w:jc w:val="both"/>
      </w:pPr>
      <w:r>
        <w:t xml:space="preserve">Why is this important? Research suggests </w:t>
      </w:r>
      <w:r>
        <w:rPr>
          <w:b/>
        </w:rPr>
        <w:t xml:space="preserve">SBP 20mm </w:t>
      </w:r>
      <w:r>
        <w:t xml:space="preserve">higher than normal or </w:t>
      </w:r>
      <w:r>
        <w:rPr>
          <w:b/>
        </w:rPr>
        <w:t>DBP 10mm</w:t>
      </w:r>
      <w:r>
        <w:t xml:space="preserve"> higher than normal </w:t>
      </w:r>
      <w:r>
        <w:rPr>
          <w:b/>
        </w:rPr>
        <w:t>DOUBLES</w:t>
      </w:r>
      <w:r>
        <w:t xml:space="preserve"> the risk from myocardial infarction, stroke, abdominal aortic aneurysm or heart failure</w:t>
      </w:r>
    </w:p>
    <w:p w14:paraId="17457AEC" w14:textId="77777777" w:rsidR="003859F8" w:rsidRDefault="003859F8" w:rsidP="000B5A82">
      <w:pPr>
        <w:pStyle w:val="NoSpacing"/>
        <w:jc w:val="both"/>
      </w:pPr>
      <w:r>
        <w:t xml:space="preserve">The new guidelines mean that approximately </w:t>
      </w:r>
      <w:r>
        <w:rPr>
          <w:b/>
        </w:rPr>
        <w:t>half</w:t>
      </w:r>
      <w:r>
        <w:t xml:space="preserve"> of USA citizens are now classifie</w:t>
      </w:r>
      <w:r w:rsidR="00084A48">
        <w:t>d as having high BP and 70</w:t>
      </w:r>
      <w:r>
        <w:t xml:space="preserve">% of </w:t>
      </w:r>
      <w:r w:rsidR="00084A48">
        <w:t>individuals in the 45 to 75 year age group in the US have</w:t>
      </w:r>
      <w:r>
        <w:t xml:space="preserve"> high BP</w:t>
      </w:r>
      <w:r w:rsidR="000B5A82">
        <w:t>.</w:t>
      </w:r>
    </w:p>
    <w:p w14:paraId="5F89654E" w14:textId="77777777" w:rsidR="000B5A82" w:rsidRPr="000B5A82" w:rsidRDefault="000B5A82" w:rsidP="000B5A82">
      <w:pPr>
        <w:pStyle w:val="NoSpacing"/>
        <w:jc w:val="both"/>
        <w:rPr>
          <w:b/>
        </w:rPr>
      </w:pPr>
      <w:r>
        <w:t xml:space="preserve">The new 2017 Guidelines also revised the definition of </w:t>
      </w:r>
      <w:r>
        <w:rPr>
          <w:b/>
        </w:rPr>
        <w:t xml:space="preserve">nocturnal hypertension </w:t>
      </w:r>
      <w:r>
        <w:t xml:space="preserve">as </w:t>
      </w:r>
      <w:r>
        <w:rPr>
          <w:b/>
        </w:rPr>
        <w:t>BP &gt; 110/65</w:t>
      </w:r>
    </w:p>
    <w:p w14:paraId="35005CAB" w14:textId="77777777" w:rsidR="007F1F6C" w:rsidRPr="007F1F6C" w:rsidRDefault="000B5A82" w:rsidP="007F1F6C">
      <w:pPr>
        <w:rPr>
          <w:b/>
          <w:sz w:val="28"/>
          <w:szCs w:val="28"/>
        </w:rPr>
      </w:pPr>
      <w:r w:rsidRPr="007F1F6C">
        <w:rPr>
          <w:b/>
          <w:sz w:val="28"/>
          <w:szCs w:val="28"/>
        </w:rPr>
        <w:lastRenderedPageBreak/>
        <w:t>NOCTURNAL BP ‘DIPPING’</w:t>
      </w:r>
    </w:p>
    <w:p w14:paraId="69EFE535" w14:textId="77777777" w:rsidR="000B5A82" w:rsidRDefault="007F1F6C" w:rsidP="000B5A82">
      <w:pPr>
        <w:pStyle w:val="NoSpacing"/>
      </w:pPr>
      <w:r w:rsidRPr="007F1F6C">
        <w:t>A consistent finding in individuals with a decreased or absent fall in BP during sleep is an increased risk of CV events</w:t>
      </w:r>
      <w:r w:rsidR="000B5A82">
        <w:t xml:space="preserve"> and correlates more closely with fatal and non-fatal cardiovascular events than daytime readings. Increased night time BP </w:t>
      </w:r>
      <w:r w:rsidR="000B5A82">
        <w:rPr>
          <w:b/>
        </w:rPr>
        <w:t xml:space="preserve">variability </w:t>
      </w:r>
      <w:r w:rsidR="000B5A82">
        <w:t xml:space="preserve">confers an increased risk independently of the </w:t>
      </w:r>
      <w:r w:rsidR="000B5A82">
        <w:rPr>
          <w:b/>
        </w:rPr>
        <w:t xml:space="preserve">average </w:t>
      </w:r>
      <w:r w:rsidR="000B5A82">
        <w:t>night time readings.</w:t>
      </w:r>
    </w:p>
    <w:p w14:paraId="33392155" w14:textId="77777777" w:rsidR="000B5A82" w:rsidRDefault="000B5A82" w:rsidP="000B5A82">
      <w:pPr>
        <w:pStyle w:val="NoSpacing"/>
      </w:pPr>
      <w:r>
        <w:t xml:space="preserve">Nocturnal hypertension is also associated with increased risk of subclinical organ damage </w:t>
      </w:r>
      <w:proofErr w:type="spellStart"/>
      <w:r>
        <w:t>eg</w:t>
      </w:r>
      <w:proofErr w:type="spellEnd"/>
      <w:r>
        <w:t xml:space="preserve"> silent cerebral infarcts, microbleeds and cognitive decline</w:t>
      </w:r>
    </w:p>
    <w:p w14:paraId="31C0961E" w14:textId="77777777" w:rsidR="000B5A82" w:rsidRPr="000B5A82" w:rsidRDefault="000B5A82" w:rsidP="000B5A82">
      <w:pPr>
        <w:pStyle w:val="NoSpacing"/>
      </w:pPr>
    </w:p>
    <w:p w14:paraId="444BC761" w14:textId="77777777" w:rsidR="007F1F6C" w:rsidRPr="007F1F6C" w:rsidRDefault="007F1F6C" w:rsidP="007F1F6C">
      <w:pPr>
        <w:rPr>
          <w:szCs w:val="24"/>
        </w:rPr>
      </w:pPr>
      <w:r w:rsidRPr="007F1F6C">
        <w:rPr>
          <w:szCs w:val="24"/>
        </w:rPr>
        <w:t>Possible causes for an absence in nocturnal BP dipping include:-</w:t>
      </w:r>
    </w:p>
    <w:p w14:paraId="2A2C9CD8" w14:textId="77777777" w:rsidR="007F1F6C" w:rsidRPr="007F1F6C" w:rsidRDefault="007F1F6C" w:rsidP="007F1F6C">
      <w:pPr>
        <w:pStyle w:val="ListParagraph"/>
        <w:numPr>
          <w:ilvl w:val="0"/>
          <w:numId w:val="8"/>
        </w:numPr>
        <w:rPr>
          <w:szCs w:val="24"/>
        </w:rPr>
      </w:pPr>
      <w:r w:rsidRPr="007F1F6C">
        <w:rPr>
          <w:szCs w:val="24"/>
        </w:rPr>
        <w:t>obstructive sleep apnoea</w:t>
      </w:r>
    </w:p>
    <w:p w14:paraId="0C89E4B0" w14:textId="77777777" w:rsidR="007F1F6C" w:rsidRDefault="007F1F6C" w:rsidP="007F1F6C">
      <w:pPr>
        <w:pStyle w:val="ListParagraph"/>
        <w:numPr>
          <w:ilvl w:val="0"/>
          <w:numId w:val="8"/>
        </w:numPr>
        <w:rPr>
          <w:szCs w:val="24"/>
        </w:rPr>
      </w:pPr>
      <w:r w:rsidRPr="007F1F6C">
        <w:rPr>
          <w:szCs w:val="24"/>
        </w:rPr>
        <w:t>disturbed sleep</w:t>
      </w:r>
    </w:p>
    <w:p w14:paraId="2116DBBA" w14:textId="77777777" w:rsidR="000B5A82" w:rsidRPr="007F1F6C" w:rsidRDefault="000B5A82" w:rsidP="007F1F6C">
      <w:pPr>
        <w:pStyle w:val="ListParagraph"/>
        <w:numPr>
          <w:ilvl w:val="0"/>
          <w:numId w:val="8"/>
        </w:numPr>
        <w:rPr>
          <w:szCs w:val="24"/>
        </w:rPr>
      </w:pPr>
      <w:r>
        <w:rPr>
          <w:szCs w:val="24"/>
        </w:rPr>
        <w:t>nocturia</w:t>
      </w:r>
    </w:p>
    <w:p w14:paraId="04F8335C" w14:textId="77777777" w:rsidR="007F1F6C" w:rsidRPr="007F1F6C" w:rsidRDefault="007F1F6C" w:rsidP="007F1F6C">
      <w:pPr>
        <w:pStyle w:val="ListParagraph"/>
        <w:numPr>
          <w:ilvl w:val="0"/>
          <w:numId w:val="8"/>
        </w:numPr>
        <w:rPr>
          <w:szCs w:val="24"/>
        </w:rPr>
      </w:pPr>
      <w:r w:rsidRPr="007F1F6C">
        <w:rPr>
          <w:szCs w:val="24"/>
        </w:rPr>
        <w:t>chronic kidney disease</w:t>
      </w:r>
    </w:p>
    <w:p w14:paraId="40D6FA28" w14:textId="77777777" w:rsidR="007F1F6C" w:rsidRPr="007F1F6C" w:rsidRDefault="007F1F6C" w:rsidP="007F1F6C">
      <w:pPr>
        <w:pStyle w:val="ListParagraph"/>
        <w:numPr>
          <w:ilvl w:val="0"/>
          <w:numId w:val="8"/>
        </w:numPr>
        <w:rPr>
          <w:szCs w:val="24"/>
        </w:rPr>
      </w:pPr>
      <w:r w:rsidRPr="007F1F6C">
        <w:rPr>
          <w:szCs w:val="24"/>
        </w:rPr>
        <w:t>autonomic dysfunction</w:t>
      </w:r>
    </w:p>
    <w:p w14:paraId="1247B10B" w14:textId="77777777" w:rsidR="007F1F6C" w:rsidRPr="007F1F6C" w:rsidRDefault="007F1F6C" w:rsidP="007F1F6C">
      <w:pPr>
        <w:pStyle w:val="ListParagraph"/>
        <w:numPr>
          <w:ilvl w:val="0"/>
          <w:numId w:val="8"/>
        </w:numPr>
        <w:rPr>
          <w:szCs w:val="24"/>
        </w:rPr>
      </w:pPr>
      <w:r w:rsidRPr="007F1F6C">
        <w:rPr>
          <w:szCs w:val="24"/>
        </w:rPr>
        <w:t>orthostatic hypotension</w:t>
      </w:r>
    </w:p>
    <w:p w14:paraId="635FA4AC" w14:textId="77777777" w:rsidR="007F1F6C" w:rsidRPr="007F1F6C" w:rsidRDefault="007F1F6C" w:rsidP="007F1F6C">
      <w:pPr>
        <w:pStyle w:val="ListParagraph"/>
        <w:numPr>
          <w:ilvl w:val="0"/>
          <w:numId w:val="8"/>
        </w:numPr>
        <w:rPr>
          <w:szCs w:val="24"/>
        </w:rPr>
      </w:pPr>
      <w:r w:rsidRPr="007F1F6C">
        <w:rPr>
          <w:szCs w:val="24"/>
        </w:rPr>
        <w:t>diabetic neuropathy</w:t>
      </w:r>
    </w:p>
    <w:p w14:paraId="673D44BB" w14:textId="77777777" w:rsidR="00FB4801" w:rsidRPr="00FB4801" w:rsidRDefault="007F1F6C" w:rsidP="0013196E">
      <w:pPr>
        <w:pStyle w:val="ListParagraph"/>
        <w:numPr>
          <w:ilvl w:val="0"/>
          <w:numId w:val="8"/>
        </w:numPr>
        <w:ind w:right="-46"/>
        <w:jc w:val="both"/>
        <w:rPr>
          <w:rFonts w:cs="Arial"/>
          <w:b/>
          <w:sz w:val="28"/>
        </w:rPr>
      </w:pPr>
      <w:r w:rsidRPr="00FB4801">
        <w:rPr>
          <w:szCs w:val="24"/>
        </w:rPr>
        <w:t>old age</w:t>
      </w:r>
    </w:p>
    <w:p w14:paraId="3482A981" w14:textId="77777777" w:rsidR="009A7D51" w:rsidRDefault="009A7D51" w:rsidP="0013196E">
      <w:pPr>
        <w:ind w:right="-46"/>
        <w:jc w:val="both"/>
        <w:rPr>
          <w:rFonts w:cs="Arial"/>
          <w:b/>
          <w:sz w:val="28"/>
        </w:rPr>
      </w:pPr>
    </w:p>
    <w:p w14:paraId="13AD7F1A" w14:textId="77777777" w:rsidR="00F77B62" w:rsidRPr="002D7ECC" w:rsidRDefault="000B5A82" w:rsidP="0013196E">
      <w:pPr>
        <w:ind w:right="-46"/>
        <w:jc w:val="both"/>
        <w:rPr>
          <w:rFonts w:cs="Arial"/>
          <w:sz w:val="28"/>
        </w:rPr>
      </w:pPr>
      <w:r w:rsidRPr="002D7ECC">
        <w:rPr>
          <w:rFonts w:cs="Arial"/>
          <w:b/>
          <w:sz w:val="28"/>
        </w:rPr>
        <w:t>INITIAL INVESTIGATION OF THE HYPERTENSIVE PATIENT</w:t>
      </w:r>
    </w:p>
    <w:p w14:paraId="01F1B5A2" w14:textId="77777777" w:rsidR="00F77B62" w:rsidRDefault="00F77B62" w:rsidP="0013196E">
      <w:pPr>
        <w:ind w:right="-46"/>
        <w:jc w:val="both"/>
        <w:rPr>
          <w:rFonts w:cs="Arial"/>
        </w:rPr>
      </w:pPr>
      <w:r>
        <w:rPr>
          <w:rFonts w:cs="Arial"/>
        </w:rPr>
        <w:t>Following confirmation of a diagnosis of hypertension by ABP monitoring the following investigations should be performed:-</w:t>
      </w:r>
    </w:p>
    <w:p w14:paraId="30D1A945" w14:textId="77777777" w:rsidR="00F77B62" w:rsidRPr="00F77B62" w:rsidRDefault="00F77B62" w:rsidP="00F77B62">
      <w:pPr>
        <w:pStyle w:val="ListParagraph"/>
        <w:numPr>
          <w:ilvl w:val="0"/>
          <w:numId w:val="7"/>
        </w:numPr>
        <w:ind w:right="-46"/>
        <w:jc w:val="both"/>
        <w:rPr>
          <w:rFonts w:cs="Arial"/>
        </w:rPr>
      </w:pPr>
      <w:r w:rsidRPr="00F77B62">
        <w:rPr>
          <w:rFonts w:cs="Arial"/>
        </w:rPr>
        <w:t>FBC</w:t>
      </w:r>
    </w:p>
    <w:p w14:paraId="7657965B" w14:textId="77777777" w:rsidR="00F77B62" w:rsidRPr="00F77B62" w:rsidRDefault="00F77B62" w:rsidP="00F77B62">
      <w:pPr>
        <w:pStyle w:val="ListParagraph"/>
        <w:numPr>
          <w:ilvl w:val="0"/>
          <w:numId w:val="7"/>
        </w:numPr>
        <w:ind w:right="-46"/>
        <w:jc w:val="both"/>
        <w:rPr>
          <w:rFonts w:cs="Arial"/>
        </w:rPr>
      </w:pPr>
      <w:r w:rsidRPr="00F77B62">
        <w:rPr>
          <w:rFonts w:cs="Arial"/>
        </w:rPr>
        <w:t>UEC/Mg and calculated glomerular filtration rate (GFR)</w:t>
      </w:r>
    </w:p>
    <w:p w14:paraId="19300D2F" w14:textId="77777777" w:rsidR="00F77B62" w:rsidRPr="00F77B62" w:rsidRDefault="00F77B62" w:rsidP="00F77B62">
      <w:pPr>
        <w:pStyle w:val="ListParagraph"/>
        <w:numPr>
          <w:ilvl w:val="0"/>
          <w:numId w:val="7"/>
        </w:numPr>
        <w:ind w:right="-46"/>
        <w:jc w:val="both"/>
        <w:rPr>
          <w:rFonts w:cs="Arial"/>
        </w:rPr>
      </w:pPr>
      <w:r w:rsidRPr="00F77B62">
        <w:rPr>
          <w:rFonts w:cs="Arial"/>
        </w:rPr>
        <w:t>Fasting BSL</w:t>
      </w:r>
    </w:p>
    <w:p w14:paraId="63767BBE" w14:textId="77777777" w:rsidR="00F77B62" w:rsidRPr="00F77B62" w:rsidRDefault="00F77B62" w:rsidP="00F77B62">
      <w:pPr>
        <w:pStyle w:val="ListParagraph"/>
        <w:numPr>
          <w:ilvl w:val="0"/>
          <w:numId w:val="7"/>
        </w:numPr>
        <w:ind w:right="-46"/>
        <w:jc w:val="both"/>
        <w:rPr>
          <w:rFonts w:cs="Arial"/>
        </w:rPr>
      </w:pPr>
      <w:r w:rsidRPr="00F77B62">
        <w:rPr>
          <w:rFonts w:cs="Arial"/>
        </w:rPr>
        <w:t>Fasting lipids</w:t>
      </w:r>
    </w:p>
    <w:p w14:paraId="537626A7" w14:textId="77777777" w:rsidR="00F77B62" w:rsidRPr="00F77B62" w:rsidRDefault="00F77B62" w:rsidP="00F77B62">
      <w:pPr>
        <w:pStyle w:val="ListParagraph"/>
        <w:numPr>
          <w:ilvl w:val="0"/>
          <w:numId w:val="7"/>
        </w:numPr>
        <w:ind w:right="-46"/>
        <w:jc w:val="both"/>
        <w:rPr>
          <w:rFonts w:cs="Arial"/>
        </w:rPr>
      </w:pPr>
      <w:r w:rsidRPr="00F77B62">
        <w:rPr>
          <w:rFonts w:cs="Arial"/>
        </w:rPr>
        <w:t>Urinalysis</w:t>
      </w:r>
    </w:p>
    <w:p w14:paraId="76B5AD74" w14:textId="77777777" w:rsidR="00F77B62" w:rsidRPr="00F77B62" w:rsidRDefault="00F77B62" w:rsidP="00F77B62">
      <w:pPr>
        <w:pStyle w:val="ListParagraph"/>
        <w:numPr>
          <w:ilvl w:val="0"/>
          <w:numId w:val="7"/>
        </w:numPr>
        <w:ind w:right="-46"/>
        <w:jc w:val="both"/>
        <w:rPr>
          <w:rFonts w:cs="Arial"/>
        </w:rPr>
      </w:pPr>
      <w:r w:rsidRPr="00F77B62">
        <w:rPr>
          <w:rFonts w:cs="Arial"/>
        </w:rPr>
        <w:t>12-lead ECG</w:t>
      </w:r>
    </w:p>
    <w:p w14:paraId="32CC44B6" w14:textId="77777777" w:rsidR="00FB4801" w:rsidRPr="000B5A82" w:rsidRDefault="00F77B62" w:rsidP="0013196E">
      <w:pPr>
        <w:pStyle w:val="ListParagraph"/>
        <w:numPr>
          <w:ilvl w:val="0"/>
          <w:numId w:val="7"/>
        </w:numPr>
        <w:ind w:right="-46"/>
        <w:jc w:val="both"/>
        <w:rPr>
          <w:rFonts w:cs="Arial"/>
        </w:rPr>
      </w:pPr>
      <w:r w:rsidRPr="00F77B62">
        <w:rPr>
          <w:rFonts w:cs="Arial"/>
        </w:rPr>
        <w:t xml:space="preserve">Echocardiogram if ECG evidence of LV hypertrophy and strain pattern </w:t>
      </w:r>
    </w:p>
    <w:p w14:paraId="6174C079" w14:textId="77777777" w:rsidR="000B5A82" w:rsidRDefault="000B5A82" w:rsidP="000B5A82">
      <w:pPr>
        <w:pStyle w:val="NoSpacing"/>
      </w:pPr>
    </w:p>
    <w:p w14:paraId="5708D14D" w14:textId="77777777" w:rsidR="000B5A82" w:rsidRDefault="000B5A82" w:rsidP="000B5A82">
      <w:pPr>
        <w:pStyle w:val="NoSpacing"/>
      </w:pPr>
    </w:p>
    <w:p w14:paraId="08524DAB" w14:textId="77777777" w:rsidR="00F77B62" w:rsidRDefault="00F77B62" w:rsidP="000B5A82">
      <w:pPr>
        <w:pStyle w:val="NoSpacing"/>
        <w:jc w:val="both"/>
      </w:pPr>
      <w:r>
        <w:t>Further investigations may be indicated, eg renal ultrasound and</w:t>
      </w:r>
      <w:r w:rsidR="002D7ECC">
        <w:t>/</w:t>
      </w:r>
      <w:r>
        <w:t xml:space="preserve">or renal biopsy in the presence of </w:t>
      </w:r>
      <w:r w:rsidRPr="002D7ECC">
        <w:rPr>
          <w:b/>
        </w:rPr>
        <w:t>renal disease</w:t>
      </w:r>
      <w:r>
        <w:t xml:space="preserve">; carotid ultrasound if a </w:t>
      </w:r>
      <w:r w:rsidRPr="002D7ECC">
        <w:rPr>
          <w:b/>
        </w:rPr>
        <w:t>carotid b</w:t>
      </w:r>
      <w:r w:rsidR="0012436C" w:rsidRPr="002D7ECC">
        <w:rPr>
          <w:b/>
        </w:rPr>
        <w:t>ruit</w:t>
      </w:r>
      <w:r w:rsidR="0012436C">
        <w:t xml:space="preserve"> </w:t>
      </w:r>
      <w:r>
        <w:t xml:space="preserve">is heard; urinary catecholamines if </w:t>
      </w:r>
      <w:proofErr w:type="spellStart"/>
      <w:r w:rsidRPr="002D7ECC">
        <w:rPr>
          <w:b/>
        </w:rPr>
        <w:t>phaechromocytoma</w:t>
      </w:r>
      <w:proofErr w:type="spellEnd"/>
      <w:r>
        <w:t xml:space="preserve"> is suspected</w:t>
      </w:r>
      <w:r w:rsidR="002D7ECC">
        <w:t xml:space="preserve">, plasma rennin and serum aldosterone to diagnose </w:t>
      </w:r>
      <w:r w:rsidR="002D7ECC" w:rsidRPr="002D7ECC">
        <w:rPr>
          <w:b/>
        </w:rPr>
        <w:t>primary aldosteronism</w:t>
      </w:r>
      <w:r w:rsidR="002D7ECC" w:rsidRPr="002D7ECC">
        <w:t>,</w:t>
      </w:r>
      <w:r w:rsidR="002D7ECC" w:rsidRPr="002D7ECC">
        <w:rPr>
          <w:b/>
        </w:rPr>
        <w:t xml:space="preserve"> </w:t>
      </w:r>
      <w:r w:rsidR="002D7ECC" w:rsidRPr="002D7ECC">
        <w:t>etc</w:t>
      </w:r>
      <w:r w:rsidR="002D7ECC">
        <w:t>.</w:t>
      </w:r>
    </w:p>
    <w:p w14:paraId="587A52AA" w14:textId="77777777" w:rsidR="002D7ECC" w:rsidRDefault="002D7ECC" w:rsidP="000B5A82">
      <w:pPr>
        <w:ind w:right="-46"/>
        <w:jc w:val="both"/>
        <w:rPr>
          <w:rFonts w:cs="Arial"/>
        </w:rPr>
      </w:pPr>
      <w:r>
        <w:rPr>
          <w:rFonts w:cs="Arial"/>
        </w:rPr>
        <w:t xml:space="preserve">It is further recommended that </w:t>
      </w:r>
      <w:r>
        <w:rPr>
          <w:rFonts w:cs="Arial"/>
          <w:b/>
        </w:rPr>
        <w:t xml:space="preserve">home BP </w:t>
      </w:r>
      <w:r w:rsidRPr="002D7ECC">
        <w:rPr>
          <w:rFonts w:cs="Arial"/>
          <w:b/>
        </w:rPr>
        <w:t>monitoring</w:t>
      </w:r>
      <w:r>
        <w:rPr>
          <w:rFonts w:cs="Arial"/>
        </w:rPr>
        <w:t xml:space="preserve"> be a routine part of the ongoing management of hypertension. The patient’s recorder should be checked in the office for accuracy and correct cuff size.</w:t>
      </w:r>
    </w:p>
    <w:p w14:paraId="67C230C7" w14:textId="77777777" w:rsidR="002D7ECC" w:rsidRDefault="002D7ECC" w:rsidP="0013196E">
      <w:pPr>
        <w:ind w:right="-46"/>
        <w:jc w:val="both"/>
      </w:pPr>
      <w:r>
        <w:rPr>
          <w:rFonts w:cs="Arial"/>
        </w:rPr>
        <w:t xml:space="preserve">Note that LVH with strain pattern on the ECG predicts a high risk of future heart failure and of death from heart failure. Note however that the ECG is relatively insensitive in diagnosing LVH: </w:t>
      </w:r>
      <w:r w:rsidRPr="002D7ECC">
        <w:rPr>
          <w:rFonts w:cs="Arial"/>
          <w:b/>
        </w:rPr>
        <w:t>5 to 10%</w:t>
      </w:r>
      <w:r>
        <w:rPr>
          <w:b/>
        </w:rPr>
        <w:t xml:space="preserve"> </w:t>
      </w:r>
      <w:r>
        <w:t xml:space="preserve">of hypertensive patients show ECG criteria for LVH compared with an incidence of approximately </w:t>
      </w:r>
      <w:r>
        <w:rPr>
          <w:b/>
        </w:rPr>
        <w:t>30%</w:t>
      </w:r>
      <w:r>
        <w:t xml:space="preserve"> on echocardiographic examination (up to </w:t>
      </w:r>
      <w:r>
        <w:rPr>
          <w:b/>
        </w:rPr>
        <w:t>90%</w:t>
      </w:r>
      <w:r>
        <w:t xml:space="preserve"> in patients with severe uncontrolled hypertension).</w:t>
      </w:r>
    </w:p>
    <w:p w14:paraId="1FD62726" w14:textId="77777777" w:rsidR="000B5A82" w:rsidRDefault="000B5A82" w:rsidP="0013196E">
      <w:pPr>
        <w:ind w:right="-46"/>
        <w:jc w:val="both"/>
      </w:pPr>
    </w:p>
    <w:p w14:paraId="75A8A302" w14:textId="77777777" w:rsidR="000B5A82" w:rsidRDefault="000B5A82" w:rsidP="0013196E">
      <w:pPr>
        <w:ind w:right="-46"/>
        <w:jc w:val="both"/>
      </w:pPr>
    </w:p>
    <w:p w14:paraId="61828B7F" w14:textId="77777777" w:rsidR="002D7ECC" w:rsidRDefault="002D7ECC" w:rsidP="0013196E">
      <w:pPr>
        <w:ind w:right="-46"/>
        <w:jc w:val="both"/>
        <w:rPr>
          <w:b/>
          <w:sz w:val="28"/>
        </w:rPr>
      </w:pPr>
      <w:r w:rsidRPr="002D7ECC">
        <w:rPr>
          <w:b/>
          <w:sz w:val="28"/>
        </w:rPr>
        <w:lastRenderedPageBreak/>
        <w:t>WHY IS IT IMPORTANT?</w:t>
      </w:r>
    </w:p>
    <w:p w14:paraId="682E6612" w14:textId="77777777" w:rsidR="002D7ECC" w:rsidRDefault="002D7ECC" w:rsidP="0013196E">
      <w:pPr>
        <w:ind w:right="-46"/>
        <w:jc w:val="both"/>
      </w:pPr>
      <w:r w:rsidRPr="002D7ECC">
        <w:t>The diagnosis</w:t>
      </w:r>
      <w:r>
        <w:t xml:space="preserve"> and correct management of hypertension constitutes one of the most effective preventative health measure that can be taken to reduce morbidity and mortality in the community. In the USA </w:t>
      </w:r>
      <w:r>
        <w:rPr>
          <w:b/>
        </w:rPr>
        <w:t>25%</w:t>
      </w:r>
      <w:r>
        <w:rPr>
          <w:b/>
          <w:i/>
        </w:rPr>
        <w:t xml:space="preserve"> </w:t>
      </w:r>
      <w:r>
        <w:t>of adults in the general population have hypertension while</w:t>
      </w:r>
      <w:r w:rsidR="000F2172">
        <w:t xml:space="preserve"> in diabetics the incidence is </w:t>
      </w:r>
      <w:r w:rsidR="000F2172" w:rsidRPr="000F2172">
        <w:rPr>
          <w:b/>
        </w:rPr>
        <w:t>7</w:t>
      </w:r>
      <w:r w:rsidRPr="000F2172">
        <w:rPr>
          <w:b/>
        </w:rPr>
        <w:t>5%</w:t>
      </w:r>
      <w:r>
        <w:t xml:space="preserve"> and in individuals with chronic renal disease the incidence is </w:t>
      </w:r>
      <w:r w:rsidRPr="000F2172">
        <w:rPr>
          <w:b/>
        </w:rPr>
        <w:t>90%</w:t>
      </w:r>
      <w:r>
        <w:t>.</w:t>
      </w:r>
    </w:p>
    <w:p w14:paraId="570E9FB2" w14:textId="77777777" w:rsidR="000F2172" w:rsidRDefault="000F2172" w:rsidP="0013196E">
      <w:pPr>
        <w:ind w:right="-46"/>
        <w:jc w:val="both"/>
      </w:pPr>
      <w:r>
        <w:t>Hypertension contributes to m</w:t>
      </w:r>
      <w:r w:rsidR="00CF4DA1">
        <w:t>any</w:t>
      </w:r>
      <w:r>
        <w:t xml:space="preserve"> important clinical conditions, including:-</w:t>
      </w:r>
    </w:p>
    <w:p w14:paraId="671163BA" w14:textId="77777777" w:rsidR="000F2172" w:rsidRDefault="0092436E" w:rsidP="0092436E">
      <w:pPr>
        <w:pStyle w:val="ListParagraph"/>
        <w:numPr>
          <w:ilvl w:val="0"/>
          <w:numId w:val="4"/>
        </w:numPr>
        <w:ind w:right="-46"/>
        <w:jc w:val="both"/>
      </w:pPr>
      <w:r>
        <w:t>a</w:t>
      </w:r>
      <w:r w:rsidR="000F2172">
        <w:t>therosclerotic heart disease</w:t>
      </w:r>
    </w:p>
    <w:p w14:paraId="212BBE46" w14:textId="77777777" w:rsidR="000F2172" w:rsidRPr="0092436E" w:rsidRDefault="0092436E" w:rsidP="0092436E">
      <w:pPr>
        <w:pStyle w:val="ListParagraph"/>
        <w:numPr>
          <w:ilvl w:val="0"/>
          <w:numId w:val="4"/>
        </w:numPr>
        <w:ind w:right="-46"/>
        <w:jc w:val="both"/>
        <w:rPr>
          <w:b/>
        </w:rPr>
      </w:pPr>
      <w:r>
        <w:t>c</w:t>
      </w:r>
      <w:r w:rsidR="000F2172">
        <w:t xml:space="preserve">erebrovascular disease, including </w:t>
      </w:r>
      <w:r w:rsidR="000F2172" w:rsidRPr="0092436E">
        <w:rPr>
          <w:b/>
        </w:rPr>
        <w:t>stroke</w:t>
      </w:r>
      <w:r w:rsidR="000F2172">
        <w:t xml:space="preserve"> (responsible for 50% of cases; of which 80% are ischaemic and 20% are haemorrhagic) and </w:t>
      </w:r>
      <w:r w:rsidR="000F2172" w:rsidRPr="0092436E">
        <w:rPr>
          <w:b/>
        </w:rPr>
        <w:t>vascular dementia</w:t>
      </w:r>
    </w:p>
    <w:p w14:paraId="262F45E5" w14:textId="77777777" w:rsidR="000F2172" w:rsidRDefault="0092436E" w:rsidP="0092436E">
      <w:pPr>
        <w:pStyle w:val="ListParagraph"/>
        <w:numPr>
          <w:ilvl w:val="0"/>
          <w:numId w:val="4"/>
        </w:numPr>
        <w:ind w:right="-46"/>
        <w:jc w:val="both"/>
      </w:pPr>
      <w:r>
        <w:t>c</w:t>
      </w:r>
      <w:r w:rsidR="000F2172">
        <w:t xml:space="preserve">hronic kidney disease </w:t>
      </w:r>
      <w:r>
        <w:t>(</w:t>
      </w:r>
      <w:r w:rsidR="000F2172">
        <w:t>a risk factor secondary</w:t>
      </w:r>
      <w:r>
        <w:t xml:space="preserve"> only to diabetes)</w:t>
      </w:r>
    </w:p>
    <w:p w14:paraId="7E991A16" w14:textId="77777777" w:rsidR="0092436E" w:rsidRDefault="0092436E" w:rsidP="0092436E">
      <w:pPr>
        <w:pStyle w:val="ListParagraph"/>
        <w:numPr>
          <w:ilvl w:val="0"/>
          <w:numId w:val="4"/>
        </w:numPr>
        <w:ind w:right="-46"/>
        <w:jc w:val="both"/>
      </w:pPr>
      <w:r>
        <w:t>abdominal aortic aneurysm</w:t>
      </w:r>
    </w:p>
    <w:p w14:paraId="528AAB29" w14:textId="77777777" w:rsidR="0092436E" w:rsidRDefault="0092436E" w:rsidP="0092436E">
      <w:pPr>
        <w:pStyle w:val="ListParagraph"/>
        <w:numPr>
          <w:ilvl w:val="0"/>
          <w:numId w:val="4"/>
        </w:numPr>
        <w:ind w:right="-46"/>
        <w:jc w:val="both"/>
      </w:pPr>
      <w:r>
        <w:t>peripheral vascular disease</w:t>
      </w:r>
    </w:p>
    <w:p w14:paraId="2CD536C3" w14:textId="77777777" w:rsidR="0092436E" w:rsidRDefault="0092436E" w:rsidP="0092436E">
      <w:pPr>
        <w:pStyle w:val="ListParagraph"/>
        <w:numPr>
          <w:ilvl w:val="0"/>
          <w:numId w:val="4"/>
        </w:numPr>
        <w:ind w:right="-46"/>
        <w:jc w:val="both"/>
      </w:pPr>
      <w:r>
        <w:t>cardiac failure</w:t>
      </w:r>
    </w:p>
    <w:p w14:paraId="0AA29BC7" w14:textId="77777777" w:rsidR="009A7D51" w:rsidRDefault="009A7D51" w:rsidP="00CF4DA1">
      <w:pPr>
        <w:pStyle w:val="NoSpacing"/>
        <w:rPr>
          <w:b/>
          <w:sz w:val="28"/>
        </w:rPr>
      </w:pPr>
    </w:p>
    <w:p w14:paraId="1B3ED8F8" w14:textId="77777777" w:rsidR="00CF4DA1" w:rsidRPr="00891A56" w:rsidRDefault="0092436E" w:rsidP="00CF4DA1">
      <w:pPr>
        <w:pStyle w:val="NoSpacing"/>
        <w:rPr>
          <w:b/>
        </w:rPr>
      </w:pPr>
      <w:r w:rsidRPr="00891A56">
        <w:rPr>
          <w:b/>
          <w:sz w:val="28"/>
        </w:rPr>
        <w:t>Recommended reading:</w:t>
      </w:r>
    </w:p>
    <w:p w14:paraId="551653FF" w14:textId="77777777" w:rsidR="00CF4DA1" w:rsidRPr="00FC7F51" w:rsidRDefault="00720853" w:rsidP="00CF4DA1">
      <w:pPr>
        <w:pStyle w:val="NoSpacing"/>
        <w:rPr>
          <w:sz w:val="20"/>
          <w:szCs w:val="20"/>
        </w:rPr>
      </w:pPr>
      <w:r w:rsidRPr="00FC7F51">
        <w:rPr>
          <w:sz w:val="20"/>
          <w:szCs w:val="20"/>
        </w:rPr>
        <w:t>Systemic Hypert</w:t>
      </w:r>
      <w:r w:rsidR="00DE6DE1" w:rsidRPr="00FC7F51">
        <w:rPr>
          <w:sz w:val="20"/>
          <w:szCs w:val="20"/>
        </w:rPr>
        <w:t>ension: Mechanisms &amp; Diagnosis</w:t>
      </w:r>
      <w:r w:rsidRPr="00FC7F51">
        <w:rPr>
          <w:sz w:val="20"/>
          <w:szCs w:val="20"/>
        </w:rPr>
        <w:t>: Ronald G Victor</w:t>
      </w:r>
    </w:p>
    <w:p w14:paraId="54A1366D" w14:textId="77777777" w:rsidR="00720853" w:rsidRPr="00FC7F51" w:rsidRDefault="00720853" w:rsidP="00CF4DA1">
      <w:pPr>
        <w:pStyle w:val="NoSpacing"/>
        <w:rPr>
          <w:sz w:val="20"/>
          <w:szCs w:val="20"/>
        </w:rPr>
      </w:pPr>
      <w:proofErr w:type="spellStart"/>
      <w:r w:rsidRPr="00FC7F51">
        <w:rPr>
          <w:sz w:val="20"/>
          <w:szCs w:val="20"/>
        </w:rPr>
        <w:t>Braunwalds</w:t>
      </w:r>
      <w:proofErr w:type="spellEnd"/>
      <w:r w:rsidRPr="00FC7F51">
        <w:rPr>
          <w:sz w:val="20"/>
          <w:szCs w:val="20"/>
        </w:rPr>
        <w:t>’ Heart Disease 9</w:t>
      </w:r>
      <w:r w:rsidRPr="00FC7F51">
        <w:rPr>
          <w:sz w:val="20"/>
          <w:szCs w:val="20"/>
          <w:vertAlign w:val="superscript"/>
        </w:rPr>
        <w:t>th</w:t>
      </w:r>
      <w:r w:rsidRPr="00FC7F51">
        <w:rPr>
          <w:sz w:val="20"/>
          <w:szCs w:val="20"/>
        </w:rPr>
        <w:t xml:space="preserve"> ed 2012 : Ch 45 pp 935-954</w:t>
      </w:r>
    </w:p>
    <w:p w14:paraId="47B1D6CD" w14:textId="77777777" w:rsidR="00CF4DA1" w:rsidRPr="00FC7F51" w:rsidRDefault="00CF4DA1" w:rsidP="00CF4DA1">
      <w:pPr>
        <w:pStyle w:val="NoSpacing"/>
        <w:rPr>
          <w:sz w:val="20"/>
          <w:szCs w:val="20"/>
        </w:rPr>
      </w:pPr>
    </w:p>
    <w:p w14:paraId="0C8A6332" w14:textId="77777777" w:rsidR="00720853" w:rsidRPr="00FC7F51" w:rsidRDefault="00720853" w:rsidP="00CF4DA1">
      <w:pPr>
        <w:pStyle w:val="NoSpacing"/>
        <w:rPr>
          <w:sz w:val="20"/>
          <w:szCs w:val="20"/>
        </w:rPr>
      </w:pPr>
      <w:r w:rsidRPr="00FC7F51">
        <w:rPr>
          <w:sz w:val="20"/>
          <w:szCs w:val="20"/>
        </w:rPr>
        <w:t>The JNC8 Hypertension Guidelines: An In-Depth Guide</w:t>
      </w:r>
      <w:r w:rsidR="00DE6DE1" w:rsidRPr="00FC7F51">
        <w:rPr>
          <w:sz w:val="20"/>
          <w:szCs w:val="20"/>
        </w:rPr>
        <w:t>:</w:t>
      </w:r>
      <w:r w:rsidRPr="00FC7F51">
        <w:rPr>
          <w:sz w:val="20"/>
          <w:szCs w:val="20"/>
        </w:rPr>
        <w:t xml:space="preserve"> Michael R Page published online Jan 6 2014</w:t>
      </w:r>
    </w:p>
    <w:p w14:paraId="340C3E25" w14:textId="77777777" w:rsidR="007F1F6C" w:rsidRDefault="009473BB" w:rsidP="00891A56">
      <w:pPr>
        <w:pStyle w:val="NoSpacing"/>
      </w:pPr>
      <w:hyperlink r:id="rId8" w:history="1">
        <w:r w:rsidR="00FC7F51" w:rsidRPr="00FC7F51">
          <w:rPr>
            <w:rStyle w:val="Hyperlink"/>
            <w:sz w:val="20"/>
            <w:szCs w:val="20"/>
          </w:rPr>
          <w:t>http://www.pharmacytimes.com/news/</w:t>
        </w:r>
      </w:hyperlink>
    </w:p>
    <w:p w14:paraId="54B8E822" w14:textId="77777777" w:rsidR="00DA6EF9" w:rsidRPr="00DA6EF9" w:rsidRDefault="00DA6EF9" w:rsidP="00891A56">
      <w:pPr>
        <w:pStyle w:val="NoSpacing"/>
        <w:rPr>
          <w:sz w:val="20"/>
        </w:rPr>
      </w:pPr>
    </w:p>
    <w:p w14:paraId="54AE4042" w14:textId="77777777" w:rsidR="00FC7F51" w:rsidRDefault="00FC7F51" w:rsidP="00891A56">
      <w:pPr>
        <w:pStyle w:val="NoSpacing"/>
        <w:rPr>
          <w:sz w:val="20"/>
          <w:szCs w:val="20"/>
        </w:rPr>
      </w:pPr>
      <w:r w:rsidRPr="00FC7F51">
        <w:rPr>
          <w:sz w:val="20"/>
          <w:szCs w:val="20"/>
        </w:rPr>
        <w:t xml:space="preserve">2013 ESH/ESC Guidelines for the management or arterial hypertension: European Heart Journal (2013) </w:t>
      </w:r>
      <w:r w:rsidRPr="00FC7F51">
        <w:rPr>
          <w:b/>
          <w:sz w:val="20"/>
          <w:szCs w:val="20"/>
        </w:rPr>
        <w:t>34</w:t>
      </w:r>
      <w:r w:rsidRPr="00FC7F51">
        <w:rPr>
          <w:sz w:val="20"/>
          <w:szCs w:val="20"/>
        </w:rPr>
        <w:t xml:space="preserve"> pp 2159-2219</w:t>
      </w:r>
    </w:p>
    <w:p w14:paraId="3BE410FF" w14:textId="77777777" w:rsidR="00084A48" w:rsidRDefault="00084A48" w:rsidP="00891A56">
      <w:pPr>
        <w:pStyle w:val="NoSpacing"/>
        <w:rPr>
          <w:sz w:val="20"/>
          <w:szCs w:val="20"/>
        </w:rPr>
      </w:pPr>
    </w:p>
    <w:p w14:paraId="376CEB7E" w14:textId="77777777" w:rsidR="00084A48" w:rsidRPr="00FC7F51" w:rsidRDefault="00084A48" w:rsidP="00891A56">
      <w:pPr>
        <w:pStyle w:val="NoSpacing"/>
        <w:rPr>
          <w:sz w:val="20"/>
          <w:szCs w:val="20"/>
        </w:rPr>
      </w:pPr>
      <w:r>
        <w:rPr>
          <w:sz w:val="20"/>
          <w:szCs w:val="20"/>
        </w:rPr>
        <w:t xml:space="preserve">Impact of 2017 ACC/AHA guidelines on prevalence of hypertension and eligibility for antihypertensive treatment in United States and China;  nationally representative </w:t>
      </w:r>
      <w:proofErr w:type="gramStart"/>
      <w:r>
        <w:rPr>
          <w:sz w:val="20"/>
          <w:szCs w:val="20"/>
        </w:rPr>
        <w:t>cross sectional</w:t>
      </w:r>
      <w:proofErr w:type="gramEnd"/>
      <w:r>
        <w:rPr>
          <w:sz w:val="20"/>
          <w:szCs w:val="20"/>
        </w:rPr>
        <w:t xml:space="preserve"> study  : BMJ 2018;  362 : k2357</w:t>
      </w:r>
    </w:p>
    <w:sectPr w:rsidR="00084A48" w:rsidRPr="00FC7F51" w:rsidSect="00FC7F51">
      <w:footerReference w:type="default" r:id="rId9"/>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C1EE" w14:textId="77777777" w:rsidR="009473BB" w:rsidRDefault="009473BB" w:rsidP="002D7ECC">
      <w:pPr>
        <w:spacing w:after="0" w:line="240" w:lineRule="auto"/>
      </w:pPr>
      <w:r>
        <w:separator/>
      </w:r>
    </w:p>
  </w:endnote>
  <w:endnote w:type="continuationSeparator" w:id="0">
    <w:p w14:paraId="57AFEB70" w14:textId="77777777" w:rsidR="009473BB" w:rsidRDefault="009473BB" w:rsidP="002D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36065"/>
      <w:docPartObj>
        <w:docPartGallery w:val="Page Numbers (Bottom of Page)"/>
        <w:docPartUnique/>
      </w:docPartObj>
    </w:sdtPr>
    <w:sdtEndPr/>
    <w:sdtContent>
      <w:p w14:paraId="6DEB0D09" w14:textId="77777777" w:rsidR="002D7ECC" w:rsidRDefault="00BC630F">
        <w:pPr>
          <w:pStyle w:val="Footer"/>
          <w:jc w:val="center"/>
        </w:pPr>
        <w:r>
          <w:fldChar w:fldCharType="begin"/>
        </w:r>
        <w:r>
          <w:instrText xml:space="preserve"> PAGE   \* MERGEFORMAT </w:instrText>
        </w:r>
        <w:r>
          <w:fldChar w:fldCharType="separate"/>
        </w:r>
        <w:r w:rsidR="00084A48">
          <w:rPr>
            <w:noProof/>
          </w:rPr>
          <w:t>3</w:t>
        </w:r>
        <w:r>
          <w:rPr>
            <w:noProof/>
          </w:rPr>
          <w:fldChar w:fldCharType="end"/>
        </w:r>
      </w:p>
    </w:sdtContent>
  </w:sdt>
  <w:p w14:paraId="6D600715" w14:textId="77777777" w:rsidR="002D7ECC" w:rsidRDefault="002D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A96B" w14:textId="77777777" w:rsidR="009473BB" w:rsidRDefault="009473BB" w:rsidP="002D7ECC">
      <w:pPr>
        <w:spacing w:after="0" w:line="240" w:lineRule="auto"/>
      </w:pPr>
      <w:r>
        <w:separator/>
      </w:r>
    </w:p>
  </w:footnote>
  <w:footnote w:type="continuationSeparator" w:id="0">
    <w:p w14:paraId="7D669600" w14:textId="77777777" w:rsidR="009473BB" w:rsidRDefault="009473BB" w:rsidP="002D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0B0"/>
    <w:multiLevelType w:val="hybridMultilevel"/>
    <w:tmpl w:val="18500E8E"/>
    <w:lvl w:ilvl="0" w:tplc="7FE855C4">
      <w:numFmt w:val="bullet"/>
      <w:lvlText w:val=""/>
      <w:lvlJc w:val="center"/>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42E78A5"/>
    <w:multiLevelType w:val="hybridMultilevel"/>
    <w:tmpl w:val="5EE6F36C"/>
    <w:lvl w:ilvl="0" w:tplc="EC60AB20">
      <w:start w:val="10"/>
      <w:numFmt w:val="bullet"/>
      <w:lvlText w:val="-"/>
      <w:lvlJc w:val="left"/>
      <w:pPr>
        <w:ind w:left="1080" w:hanging="360"/>
      </w:pPr>
      <w:rPr>
        <w:rFonts w:ascii="Calibri" w:eastAsiaTheme="minorHAns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9776D26"/>
    <w:multiLevelType w:val="hybridMultilevel"/>
    <w:tmpl w:val="4FBEADD4"/>
    <w:lvl w:ilvl="0" w:tplc="3B74278A">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AA2435B"/>
    <w:multiLevelType w:val="hybridMultilevel"/>
    <w:tmpl w:val="7B8A0206"/>
    <w:lvl w:ilvl="0" w:tplc="7FE855C4">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1395B"/>
    <w:multiLevelType w:val="hybridMultilevel"/>
    <w:tmpl w:val="B31CDCEC"/>
    <w:lvl w:ilvl="0" w:tplc="918C19BC">
      <w:start w:val="1"/>
      <w:numFmt w:val="bullet"/>
      <w:lvlText w:val="-"/>
      <w:lvlJc w:val="left"/>
      <w:pPr>
        <w:ind w:left="927" w:hanging="360"/>
      </w:pPr>
      <w:rPr>
        <w:rFonts w:ascii="Calibri" w:eastAsiaTheme="minorHAnsi"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41825D07"/>
    <w:multiLevelType w:val="hybridMultilevel"/>
    <w:tmpl w:val="551C74C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492971C8"/>
    <w:multiLevelType w:val="hybridMultilevel"/>
    <w:tmpl w:val="B218BA50"/>
    <w:lvl w:ilvl="0" w:tplc="7FE855C4">
      <w:numFmt w:val="bullet"/>
      <w:lvlText w:val=""/>
      <w:lvlJc w:val="center"/>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7F3B5EC9"/>
    <w:multiLevelType w:val="hybridMultilevel"/>
    <w:tmpl w:val="0734B2C6"/>
    <w:lvl w:ilvl="0" w:tplc="53B6E738">
      <w:start w:val="1"/>
      <w:numFmt w:val="decimal"/>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16D"/>
    <w:rsid w:val="000049C7"/>
    <w:rsid w:val="00024C23"/>
    <w:rsid w:val="00030034"/>
    <w:rsid w:val="00055C27"/>
    <w:rsid w:val="000704AB"/>
    <w:rsid w:val="000726AC"/>
    <w:rsid w:val="000800F8"/>
    <w:rsid w:val="00084A48"/>
    <w:rsid w:val="00090914"/>
    <w:rsid w:val="000B5A82"/>
    <w:rsid w:val="000F2172"/>
    <w:rsid w:val="0012436C"/>
    <w:rsid w:val="0013196E"/>
    <w:rsid w:val="001A67F5"/>
    <w:rsid w:val="001C28B0"/>
    <w:rsid w:val="001D2731"/>
    <w:rsid w:val="00206E93"/>
    <w:rsid w:val="00287BCF"/>
    <w:rsid w:val="002D0A93"/>
    <w:rsid w:val="002D7ECC"/>
    <w:rsid w:val="00364F6B"/>
    <w:rsid w:val="003859F8"/>
    <w:rsid w:val="003949F6"/>
    <w:rsid w:val="003D1F49"/>
    <w:rsid w:val="003F283E"/>
    <w:rsid w:val="00405286"/>
    <w:rsid w:val="004248CF"/>
    <w:rsid w:val="004477B3"/>
    <w:rsid w:val="0046716D"/>
    <w:rsid w:val="004B11FD"/>
    <w:rsid w:val="004E7509"/>
    <w:rsid w:val="004F66DD"/>
    <w:rsid w:val="00511BF5"/>
    <w:rsid w:val="005220F6"/>
    <w:rsid w:val="005320D1"/>
    <w:rsid w:val="00542251"/>
    <w:rsid w:val="00551B88"/>
    <w:rsid w:val="005759A2"/>
    <w:rsid w:val="005B2FA5"/>
    <w:rsid w:val="005E2593"/>
    <w:rsid w:val="005F5196"/>
    <w:rsid w:val="00607270"/>
    <w:rsid w:val="0067278F"/>
    <w:rsid w:val="006F0900"/>
    <w:rsid w:val="0071051F"/>
    <w:rsid w:val="00720853"/>
    <w:rsid w:val="00730C1D"/>
    <w:rsid w:val="00782755"/>
    <w:rsid w:val="00795A3B"/>
    <w:rsid w:val="007C3B87"/>
    <w:rsid w:val="007F01D9"/>
    <w:rsid w:val="007F1F6C"/>
    <w:rsid w:val="00801D3C"/>
    <w:rsid w:val="00861646"/>
    <w:rsid w:val="00885D5E"/>
    <w:rsid w:val="00891A56"/>
    <w:rsid w:val="008D31F0"/>
    <w:rsid w:val="008E171E"/>
    <w:rsid w:val="008F6D52"/>
    <w:rsid w:val="0092436E"/>
    <w:rsid w:val="009369BD"/>
    <w:rsid w:val="009473BB"/>
    <w:rsid w:val="00965FEC"/>
    <w:rsid w:val="009A1E4B"/>
    <w:rsid w:val="009A7D51"/>
    <w:rsid w:val="009E03A4"/>
    <w:rsid w:val="00A151C3"/>
    <w:rsid w:val="00A31A87"/>
    <w:rsid w:val="00A432DA"/>
    <w:rsid w:val="00A62D98"/>
    <w:rsid w:val="00A86D77"/>
    <w:rsid w:val="00AF4D1B"/>
    <w:rsid w:val="00B20A7D"/>
    <w:rsid w:val="00B3057E"/>
    <w:rsid w:val="00B54DD0"/>
    <w:rsid w:val="00B64975"/>
    <w:rsid w:val="00B8474C"/>
    <w:rsid w:val="00BC60E7"/>
    <w:rsid w:val="00BC630F"/>
    <w:rsid w:val="00C571D5"/>
    <w:rsid w:val="00C60815"/>
    <w:rsid w:val="00CB131F"/>
    <w:rsid w:val="00CD0038"/>
    <w:rsid w:val="00CE09F1"/>
    <w:rsid w:val="00CF2FB2"/>
    <w:rsid w:val="00CF4DA1"/>
    <w:rsid w:val="00D64A16"/>
    <w:rsid w:val="00D72B12"/>
    <w:rsid w:val="00DA6EF9"/>
    <w:rsid w:val="00DB4ECC"/>
    <w:rsid w:val="00DD5E8D"/>
    <w:rsid w:val="00DE6DE1"/>
    <w:rsid w:val="00E07A4E"/>
    <w:rsid w:val="00E5475C"/>
    <w:rsid w:val="00E70237"/>
    <w:rsid w:val="00F13946"/>
    <w:rsid w:val="00F35274"/>
    <w:rsid w:val="00F46335"/>
    <w:rsid w:val="00F5345E"/>
    <w:rsid w:val="00F77B62"/>
    <w:rsid w:val="00F837E0"/>
    <w:rsid w:val="00F83C60"/>
    <w:rsid w:val="00FB4801"/>
    <w:rsid w:val="00FC365F"/>
    <w:rsid w:val="00FC7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EC7C"/>
  <w15:docId w15:val="{C36E3418-35B7-42B7-9F8A-65EEF016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6D"/>
    <w:pPr>
      <w:ind w:left="720"/>
      <w:contextualSpacing/>
    </w:pPr>
  </w:style>
  <w:style w:type="paragraph" w:styleId="BalloonText">
    <w:name w:val="Balloon Text"/>
    <w:basedOn w:val="Normal"/>
    <w:link w:val="BalloonTextChar"/>
    <w:uiPriority w:val="99"/>
    <w:semiHidden/>
    <w:unhideWhenUsed/>
    <w:rsid w:val="00936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BD"/>
    <w:rPr>
      <w:rFonts w:ascii="Tahoma" w:hAnsi="Tahoma" w:cs="Tahoma"/>
      <w:sz w:val="16"/>
      <w:szCs w:val="16"/>
    </w:rPr>
  </w:style>
  <w:style w:type="character" w:styleId="BookTitle">
    <w:name w:val="Book Title"/>
    <w:basedOn w:val="DefaultParagraphFont"/>
    <w:uiPriority w:val="33"/>
    <w:qFormat/>
    <w:rsid w:val="00055C27"/>
    <w:rPr>
      <w:b/>
      <w:bCs/>
      <w:smallCaps/>
      <w:spacing w:val="5"/>
    </w:rPr>
  </w:style>
  <w:style w:type="paragraph" w:styleId="NoSpacing">
    <w:name w:val="No Spacing"/>
    <w:uiPriority w:val="1"/>
    <w:qFormat/>
    <w:rsid w:val="002D7ECC"/>
    <w:pPr>
      <w:spacing w:after="0" w:line="240" w:lineRule="auto"/>
    </w:pPr>
  </w:style>
  <w:style w:type="paragraph" w:styleId="Header">
    <w:name w:val="header"/>
    <w:basedOn w:val="Normal"/>
    <w:link w:val="HeaderChar"/>
    <w:uiPriority w:val="99"/>
    <w:semiHidden/>
    <w:unhideWhenUsed/>
    <w:rsid w:val="002D7E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ECC"/>
  </w:style>
  <w:style w:type="paragraph" w:styleId="Footer">
    <w:name w:val="footer"/>
    <w:basedOn w:val="Normal"/>
    <w:link w:val="FooterChar"/>
    <w:uiPriority w:val="99"/>
    <w:unhideWhenUsed/>
    <w:rsid w:val="002D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CC"/>
  </w:style>
  <w:style w:type="character" w:styleId="Hyperlink">
    <w:name w:val="Hyperlink"/>
    <w:basedOn w:val="DefaultParagraphFont"/>
    <w:uiPriority w:val="99"/>
    <w:unhideWhenUsed/>
    <w:rsid w:val="00DE6DE1"/>
    <w:rPr>
      <w:color w:val="0000FF" w:themeColor="hyperlink"/>
      <w:u w:val="single"/>
    </w:rPr>
  </w:style>
  <w:style w:type="table" w:styleId="TableGrid">
    <w:name w:val="Table Grid"/>
    <w:basedOn w:val="TableNormal"/>
    <w:uiPriority w:val="59"/>
    <w:rsid w:val="00FC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times.com/ne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9E14-F4A0-430C-9E23-E2671CDF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John McLeish</cp:lastModifiedBy>
  <cp:revision>2</cp:revision>
  <cp:lastPrinted>2015-10-14T02:31:00Z</cp:lastPrinted>
  <dcterms:created xsi:type="dcterms:W3CDTF">2020-06-25T23:56:00Z</dcterms:created>
  <dcterms:modified xsi:type="dcterms:W3CDTF">2020-06-25T23:56:00Z</dcterms:modified>
</cp:coreProperties>
</file>